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
    <w:p/>
    <w:p/>
    <w:p/>
    <w:p/>
    <w:p>
      <w:pPr>
        <w:jc w:val="center"/>
        <w:rPr>
          <w:b/>
          <w:bCs/>
          <w:color w:val="000000" w:themeColor="text1"/>
          <w:sz w:val="72"/>
          <w:szCs w:val="72"/>
          <w14:textFill>
            <w14:solidFill>
              <w14:schemeClr w14:val="tx1"/>
            </w14:solidFill>
          </w14:textFill>
        </w:rPr>
      </w:pPr>
      <w:r>
        <w:rPr>
          <w:rFonts w:hint="eastAsia"/>
          <w:b/>
          <w:bCs/>
          <w:color w:val="000000" w:themeColor="text1"/>
          <w:sz w:val="52"/>
          <w:szCs w:val="52"/>
          <w14:textFill>
            <w14:solidFill>
              <w14:schemeClr w14:val="tx1"/>
            </w14:solidFill>
          </w14:textFill>
        </w:rPr>
        <w:t>南充电子工业学校</w:t>
      </w:r>
    </w:p>
    <w:p>
      <w:pPr>
        <w:jc w:val="center"/>
        <w:rPr>
          <w:b/>
          <w:bCs/>
          <w:sz w:val="52"/>
          <w:szCs w:val="52"/>
        </w:rPr>
      </w:pPr>
    </w:p>
    <w:p>
      <w:pPr>
        <w:jc w:val="center"/>
        <w:rPr>
          <w:rFonts w:ascii="仿宋_GB2312" w:hAnsi="仿宋_GB2312" w:eastAsia="仿宋_GB2312" w:cs="仿宋_GB2312"/>
          <w:color w:val="000000" w:themeColor="text1"/>
          <w:sz w:val="52"/>
          <w:szCs w:val="52"/>
          <w14:textFill>
            <w14:solidFill>
              <w14:schemeClr w14:val="tx1"/>
            </w14:solidFill>
          </w14:textFill>
        </w:rPr>
      </w:pPr>
      <w:r>
        <w:rPr>
          <w:rFonts w:hint="eastAsia" w:ascii="仿宋_GB2312" w:hAnsi="仿宋_GB2312" w:eastAsia="仿宋_GB2312" w:cs="仿宋_GB2312"/>
          <w:color w:val="000000" w:themeColor="text1"/>
          <w:sz w:val="52"/>
          <w:szCs w:val="52"/>
          <w14:textFill>
            <w14:solidFill>
              <w14:schemeClr w14:val="tx1"/>
            </w14:solidFill>
          </w14:textFill>
        </w:rPr>
        <w:t>中等职业教育质量年度报告</w:t>
      </w:r>
    </w:p>
    <w:p>
      <w:pPr>
        <w:jc w:val="center"/>
        <w:rPr>
          <w:rFonts w:ascii="新宋体" w:hAnsi="新宋体" w:eastAsia="新宋体" w:cs="新宋体"/>
          <w:sz w:val="44"/>
          <w:szCs w:val="44"/>
        </w:rPr>
      </w:pPr>
      <w:r>
        <w:rPr>
          <w:rFonts w:hint="eastAsia" w:ascii="新宋体" w:hAnsi="新宋体" w:eastAsia="新宋体" w:cs="新宋体"/>
          <w:sz w:val="44"/>
          <w:szCs w:val="44"/>
        </w:rPr>
        <w:t>（2019年度）</w:t>
      </w:r>
    </w:p>
    <w:p>
      <w:pPr>
        <w:jc w:val="center"/>
        <w:rPr>
          <w:rFonts w:ascii="新宋体" w:hAnsi="新宋体" w:eastAsia="新宋体" w:cs="新宋体"/>
          <w:sz w:val="44"/>
          <w:szCs w:val="44"/>
        </w:rPr>
      </w:pPr>
    </w:p>
    <w:p>
      <w:pPr>
        <w:jc w:val="center"/>
        <w:rPr>
          <w:sz w:val="44"/>
          <w:szCs w:val="44"/>
        </w:rPr>
      </w:pPr>
    </w:p>
    <w:p>
      <w:pPr>
        <w:jc w:val="center"/>
        <w:rPr>
          <w:sz w:val="44"/>
          <w:szCs w:val="44"/>
        </w:rPr>
      </w:pPr>
    </w:p>
    <w:p>
      <w:pPr>
        <w:rPr>
          <w:sz w:val="44"/>
          <w:szCs w:val="44"/>
        </w:rPr>
      </w:pPr>
    </w:p>
    <w:p>
      <w:pPr>
        <w:jc w:val="center"/>
        <w:rPr>
          <w:sz w:val="44"/>
          <w:szCs w:val="44"/>
        </w:rPr>
      </w:pPr>
    </w:p>
    <w:p>
      <w:pPr>
        <w:rPr>
          <w:sz w:val="44"/>
          <w:szCs w:val="44"/>
        </w:rPr>
      </w:pPr>
    </w:p>
    <w:p>
      <w:pPr>
        <w:jc w:val="center"/>
        <w:rPr>
          <w:color w:val="000000" w:themeColor="text1"/>
          <w:sz w:val="44"/>
          <w:szCs w:val="44"/>
          <w14:textFill>
            <w14:solidFill>
              <w14:schemeClr w14:val="tx1"/>
            </w14:solidFill>
          </w14:textFill>
        </w:rPr>
      </w:pPr>
      <w:r>
        <w:rPr>
          <w:rFonts w:hint="eastAsia" w:ascii="新宋体" w:hAnsi="新宋体" w:eastAsia="新宋体" w:cs="新宋体"/>
          <w:sz w:val="44"/>
          <w:szCs w:val="44"/>
        </w:rPr>
        <w:t>二0</w:t>
      </w:r>
      <w:r>
        <w:rPr>
          <w:rFonts w:hint="eastAsia" w:ascii="新宋体" w:hAnsi="新宋体" w:eastAsia="新宋体" w:cs="新宋体"/>
          <w:sz w:val="44"/>
          <w:szCs w:val="44"/>
          <w:lang w:val="en-US" w:eastAsia="zh-CN"/>
        </w:rPr>
        <w:t>二0</w:t>
      </w:r>
      <w:r>
        <w:rPr>
          <w:rFonts w:hint="eastAsia" w:ascii="新宋体" w:hAnsi="新宋体" w:eastAsia="新宋体" w:cs="新宋体"/>
          <w:sz w:val="44"/>
          <w:szCs w:val="44"/>
        </w:rPr>
        <w:t>年一月</w:t>
      </w:r>
      <w:r>
        <w:rPr>
          <w:rFonts w:hint="eastAsia" w:ascii="新宋体" w:hAnsi="新宋体" w:eastAsia="新宋体" w:cs="新宋体"/>
          <w:sz w:val="44"/>
          <w:szCs w:val="44"/>
          <w:lang w:val="en-US" w:eastAsia="zh-CN"/>
        </w:rPr>
        <w:t>二十</w:t>
      </w:r>
      <w:bookmarkStart w:id="5" w:name="_GoBack"/>
      <w:bookmarkEnd w:id="5"/>
      <w:r>
        <w:rPr>
          <w:rFonts w:hint="eastAsia" w:ascii="新宋体" w:hAnsi="新宋体" w:eastAsia="新宋体" w:cs="新宋体"/>
          <w:sz w:val="44"/>
          <w:szCs w:val="44"/>
        </w:rPr>
        <w:t>日</w:t>
      </w:r>
    </w:p>
    <w:p>
      <w:pPr>
        <w:jc w:val="center"/>
        <w:rPr>
          <w:color w:val="000000" w:themeColor="text1"/>
          <w:sz w:val="44"/>
          <w:szCs w:val="44"/>
          <w14:textFill>
            <w14:solidFill>
              <w14:schemeClr w14:val="tx1"/>
            </w14:solidFill>
          </w14:textFill>
        </w:rPr>
      </w:pPr>
    </w:p>
    <w:p>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目录</w:t>
      </w:r>
    </w:p>
    <w:p>
      <w:pPr>
        <w:numPr>
          <w:ilvl w:val="0"/>
          <w:numId w:val="1"/>
        </w:numP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学校情况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1</w:t>
      </w:r>
    </w:p>
    <w:p>
      <w:pPr>
        <w:rPr>
          <w:rFonts w:ascii="新宋体" w:hAnsi="新宋体" w:eastAsia="新宋体" w:cs="新宋体"/>
          <w:color w:val="000000" w:themeColor="text1"/>
          <w:sz w:val="30"/>
          <w:szCs w:val="30"/>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1.1学校概况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1</w:t>
      </w:r>
    </w:p>
    <w:p>
      <w:pPr>
        <w:rPr>
          <w:rFonts w:ascii="新宋体" w:hAnsi="新宋体" w:eastAsia="新宋体" w:cs="新宋体"/>
          <w:color w:val="000000" w:themeColor="text1"/>
          <w:sz w:val="30"/>
          <w:szCs w:val="30"/>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1.2学生情况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p>
    <w:p>
      <w:pPr>
        <w:rPr>
          <w:rFonts w:ascii="新宋体" w:hAnsi="新宋体" w:eastAsia="新宋体" w:cs="新宋体"/>
          <w:color w:val="000000" w:themeColor="text1"/>
          <w:sz w:val="30"/>
          <w:szCs w:val="30"/>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1.3教师队伍</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3</w:t>
      </w:r>
    </w:p>
    <w:p>
      <w:pPr>
        <w:rPr>
          <w:rFonts w:ascii="新宋体" w:hAnsi="新宋体" w:eastAsia="新宋体" w:cs="新宋体"/>
          <w:color w:val="000000" w:themeColor="text1"/>
          <w:sz w:val="30"/>
          <w:szCs w:val="30"/>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1.4设施设备</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4</w:t>
      </w:r>
    </w:p>
    <w:p>
      <w:pPr>
        <w:numPr>
          <w:ilvl w:val="0"/>
          <w:numId w:val="1"/>
        </w:numP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学生发展</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7</w:t>
      </w:r>
    </w:p>
    <w:p>
      <w:pPr>
        <w:rPr>
          <w:rFonts w:ascii="新宋体" w:hAnsi="新宋体" w:eastAsia="新宋体" w:cs="新宋体"/>
          <w:color w:val="000000" w:themeColor="text1"/>
          <w:sz w:val="30"/>
          <w:szCs w:val="30"/>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2.1学生素质</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7</w:t>
      </w:r>
    </w:p>
    <w:p>
      <w:pPr>
        <w:rPr>
          <w:rFonts w:ascii="新宋体" w:hAnsi="新宋体" w:eastAsia="新宋体" w:cs="新宋体"/>
          <w:color w:val="000000" w:themeColor="text1"/>
          <w:sz w:val="30"/>
          <w:szCs w:val="30"/>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2.2在校体验</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8</w:t>
      </w:r>
    </w:p>
    <w:p>
      <w:pPr>
        <w:rPr>
          <w:rFonts w:ascii="新宋体" w:hAnsi="新宋体" w:eastAsia="新宋体" w:cs="新宋体"/>
          <w:color w:val="000000" w:themeColor="text1"/>
          <w:sz w:val="30"/>
          <w:szCs w:val="30"/>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2.3资助情况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9</w:t>
      </w:r>
    </w:p>
    <w:p>
      <w:pPr>
        <w:rPr>
          <w:rFonts w:ascii="新宋体" w:hAnsi="新宋体" w:eastAsia="新宋体" w:cs="新宋体"/>
          <w:color w:val="000000" w:themeColor="text1"/>
          <w:sz w:val="30"/>
          <w:szCs w:val="30"/>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2.4就业质量</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10</w:t>
      </w:r>
    </w:p>
    <w:p>
      <w:pPr>
        <w:rPr>
          <w:rFonts w:hint="eastAsia" w:ascii="新宋体" w:hAnsi="新宋体" w:eastAsia="新宋体" w:cs="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2.5职业发展</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1</w:t>
      </w:r>
      <w:r>
        <w:rPr>
          <w:rFonts w:hint="eastAsia" w:ascii="新宋体" w:hAnsi="新宋体" w:eastAsia="新宋体" w:cs="新宋体"/>
          <w:color w:val="000000" w:themeColor="text1"/>
          <w:sz w:val="30"/>
          <w:szCs w:val="30"/>
          <w:lang w:val="en-US" w:eastAsia="zh-CN"/>
          <w14:textFill>
            <w14:solidFill>
              <w14:schemeClr w14:val="tx1"/>
            </w14:solidFill>
          </w14:textFill>
        </w:rPr>
        <w:t>2</w:t>
      </w:r>
    </w:p>
    <w:p>
      <w:pPr>
        <w:numPr>
          <w:ilvl w:val="0"/>
          <w:numId w:val="1"/>
        </w:numP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质量保障措施</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1</w:t>
      </w:r>
      <w:r>
        <w:rPr>
          <w:rFonts w:hint="eastAsia" w:ascii="新宋体" w:hAnsi="新宋体" w:eastAsia="新宋体" w:cs="新宋体"/>
          <w:color w:val="000000" w:themeColor="text1"/>
          <w:sz w:val="30"/>
          <w:szCs w:val="30"/>
          <w:lang w:val="en-US" w:eastAsia="zh-CN"/>
          <w14:textFill>
            <w14:solidFill>
              <w14:schemeClr w14:val="tx1"/>
            </w14:solidFill>
          </w14:textFill>
        </w:rPr>
        <w:t>3</w:t>
      </w:r>
    </w:p>
    <w:p>
      <w:pPr>
        <w:rPr>
          <w:rFonts w:hint="eastAsia" w:eastAsia="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3.1</w:t>
      </w:r>
      <w:r>
        <w:rPr>
          <w:rFonts w:hint="eastAsia"/>
          <w:color w:val="000000" w:themeColor="text1"/>
          <w:sz w:val="30"/>
          <w:szCs w:val="30"/>
          <w14:textFill>
            <w14:solidFill>
              <w14:schemeClr w14:val="tx1"/>
            </w14:solidFill>
          </w14:textFill>
        </w:rPr>
        <w:t>专业动态调整</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1</w:t>
      </w:r>
      <w:r>
        <w:rPr>
          <w:rFonts w:hint="eastAsia" w:ascii="新宋体" w:hAnsi="新宋体" w:eastAsia="新宋体" w:cs="新宋体"/>
          <w:color w:val="000000" w:themeColor="text1"/>
          <w:sz w:val="30"/>
          <w:szCs w:val="30"/>
          <w:lang w:val="en-US" w:eastAsia="zh-CN"/>
          <w14:textFill>
            <w14:solidFill>
              <w14:schemeClr w14:val="tx1"/>
            </w14:solidFill>
          </w14:textFill>
        </w:rPr>
        <w:t>3</w:t>
      </w:r>
    </w:p>
    <w:p>
      <w:pPr>
        <w:rPr>
          <w:rFonts w:hint="eastAsia" w:eastAsia="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3.2</w:t>
      </w:r>
      <w:r>
        <w:rPr>
          <w:rFonts w:hint="eastAsia"/>
          <w:color w:val="000000" w:themeColor="text1"/>
          <w:sz w:val="30"/>
          <w:szCs w:val="30"/>
          <w14:textFill>
            <w14:solidFill>
              <w14:schemeClr w14:val="tx1"/>
            </w14:solidFill>
          </w14:textFill>
        </w:rPr>
        <w:t>教育教学改革</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1</w:t>
      </w:r>
      <w:r>
        <w:rPr>
          <w:rFonts w:hint="eastAsia" w:ascii="新宋体" w:hAnsi="新宋体" w:eastAsia="新宋体" w:cs="新宋体"/>
          <w:color w:val="000000" w:themeColor="text1"/>
          <w:sz w:val="30"/>
          <w:szCs w:val="30"/>
          <w:lang w:val="en-US" w:eastAsia="zh-CN"/>
          <w14:textFill>
            <w14:solidFill>
              <w14:schemeClr w14:val="tx1"/>
            </w14:solidFill>
          </w14:textFill>
        </w:rPr>
        <w:t>4</w:t>
      </w:r>
    </w:p>
    <w:p>
      <w:pPr>
        <w:rPr>
          <w:rFonts w:hint="eastAsia" w:eastAsia="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3.3</w:t>
      </w:r>
      <w:r>
        <w:rPr>
          <w:rFonts w:hint="eastAsia"/>
          <w:color w:val="000000" w:themeColor="text1"/>
          <w:sz w:val="30"/>
          <w:szCs w:val="30"/>
          <w14:textFill>
            <w14:solidFill>
              <w14:schemeClr w14:val="tx1"/>
            </w14:solidFill>
          </w14:textFill>
        </w:rPr>
        <w:t>教师培养培训</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1</w:t>
      </w:r>
      <w:r>
        <w:rPr>
          <w:rFonts w:hint="eastAsia" w:ascii="新宋体" w:hAnsi="新宋体" w:eastAsia="新宋体" w:cs="新宋体"/>
          <w:color w:val="000000" w:themeColor="text1"/>
          <w:sz w:val="30"/>
          <w:szCs w:val="30"/>
          <w:lang w:val="en-US" w:eastAsia="zh-CN"/>
          <w14:textFill>
            <w14:solidFill>
              <w14:schemeClr w14:val="tx1"/>
            </w14:solidFill>
          </w14:textFill>
        </w:rPr>
        <w:t>7</w:t>
      </w:r>
    </w:p>
    <w:p>
      <w:pPr>
        <w:rPr>
          <w:rFonts w:hint="eastAsia" w:eastAsia="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3.4</w:t>
      </w:r>
      <w:r>
        <w:rPr>
          <w:rFonts w:hint="eastAsia"/>
          <w:color w:val="000000" w:themeColor="text1"/>
          <w:sz w:val="30"/>
          <w:szCs w:val="30"/>
          <w14:textFill>
            <w14:solidFill>
              <w14:schemeClr w14:val="tx1"/>
            </w14:solidFill>
          </w14:textFill>
        </w:rPr>
        <w:t>规范管理情况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2"/>
          <w:szCs w:val="32"/>
          <w14:textFill>
            <w14:solidFill>
              <w14:schemeClr w14:val="tx1"/>
            </w14:solidFill>
          </w14:textFill>
        </w:rPr>
        <w:t>1</w:t>
      </w:r>
      <w:r>
        <w:rPr>
          <w:rFonts w:hint="eastAsia" w:ascii="新宋体" w:hAnsi="新宋体" w:eastAsia="新宋体" w:cs="新宋体"/>
          <w:color w:val="000000" w:themeColor="text1"/>
          <w:sz w:val="32"/>
          <w:szCs w:val="32"/>
          <w:lang w:val="en-US" w:eastAsia="zh-CN"/>
          <w14:textFill>
            <w14:solidFill>
              <w14:schemeClr w14:val="tx1"/>
            </w14:solidFill>
          </w14:textFill>
        </w:rPr>
        <w:t>7</w:t>
      </w:r>
    </w:p>
    <w:p>
      <w:pPr>
        <w:rPr>
          <w:rFonts w:hint="eastAsia" w:eastAsia="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3.5</w:t>
      </w:r>
      <w:r>
        <w:rPr>
          <w:rFonts w:hint="eastAsia"/>
          <w:color w:val="000000" w:themeColor="text1"/>
          <w:sz w:val="30"/>
          <w:szCs w:val="30"/>
          <w14:textFill>
            <w14:solidFill>
              <w14:schemeClr w14:val="tx1"/>
            </w14:solidFill>
          </w14:textFill>
        </w:rPr>
        <w:t>德育工作情况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r>
        <w:rPr>
          <w:rFonts w:hint="eastAsia" w:ascii="新宋体" w:hAnsi="新宋体" w:eastAsia="新宋体" w:cs="新宋体"/>
          <w:color w:val="000000" w:themeColor="text1"/>
          <w:sz w:val="30"/>
          <w:szCs w:val="30"/>
          <w:lang w:val="en-US" w:eastAsia="zh-CN"/>
          <w14:textFill>
            <w14:solidFill>
              <w14:schemeClr w14:val="tx1"/>
            </w14:solidFill>
          </w14:textFill>
        </w:rPr>
        <w:t>0</w:t>
      </w:r>
    </w:p>
    <w:p>
      <w:pPr>
        <w:rPr>
          <w:rFonts w:hint="eastAsia" w:eastAsia="新宋体"/>
          <w:b/>
          <w:bCs/>
          <w:color w:val="000000" w:themeColor="text1"/>
          <w:sz w:val="32"/>
          <w:szCs w:val="32"/>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3.6</w:t>
      </w:r>
      <w:r>
        <w:rPr>
          <w:rFonts w:hint="eastAsia"/>
          <w:color w:val="000000" w:themeColor="text1"/>
          <w:sz w:val="30"/>
          <w:szCs w:val="30"/>
          <w14:textFill>
            <w14:solidFill>
              <w14:schemeClr w14:val="tx1"/>
            </w14:solidFill>
          </w14:textFill>
        </w:rPr>
        <w:t>党建情况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r>
        <w:rPr>
          <w:rFonts w:hint="eastAsia" w:ascii="新宋体" w:hAnsi="新宋体" w:eastAsia="新宋体" w:cs="新宋体"/>
          <w:color w:val="000000" w:themeColor="text1"/>
          <w:sz w:val="30"/>
          <w:szCs w:val="30"/>
          <w:lang w:val="en-US" w:eastAsia="zh-CN"/>
          <w14:textFill>
            <w14:solidFill>
              <w14:schemeClr w14:val="tx1"/>
            </w14:solidFill>
          </w14:textFill>
        </w:rPr>
        <w:t>2</w:t>
      </w:r>
    </w:p>
    <w:p>
      <w:pPr>
        <w:numPr>
          <w:ilvl w:val="0"/>
          <w:numId w:val="1"/>
        </w:numP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校企合作</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r>
        <w:rPr>
          <w:rFonts w:hint="eastAsia" w:ascii="新宋体" w:hAnsi="新宋体" w:eastAsia="新宋体" w:cs="新宋体"/>
          <w:color w:val="000000" w:themeColor="text1"/>
          <w:sz w:val="30"/>
          <w:szCs w:val="30"/>
          <w:lang w:val="en-US" w:eastAsia="zh-CN"/>
          <w14:textFill>
            <w14:solidFill>
              <w14:schemeClr w14:val="tx1"/>
            </w14:solidFill>
          </w14:textFill>
        </w:rPr>
        <w:t>5</w:t>
      </w:r>
    </w:p>
    <w:p>
      <w:pPr>
        <w:rPr>
          <w:rFonts w:hint="eastAsia" w:eastAsia="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4.1</w:t>
      </w:r>
      <w:r>
        <w:rPr>
          <w:rFonts w:hint="eastAsia"/>
          <w:color w:val="000000" w:themeColor="text1"/>
          <w:sz w:val="30"/>
          <w:szCs w:val="30"/>
          <w14:textFill>
            <w14:solidFill>
              <w14:schemeClr w14:val="tx1"/>
            </w14:solidFill>
          </w14:textFill>
        </w:rPr>
        <w:t>校企合作开展情况和效果</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r>
        <w:rPr>
          <w:rFonts w:hint="eastAsia" w:ascii="新宋体" w:hAnsi="新宋体" w:eastAsia="新宋体" w:cs="新宋体"/>
          <w:color w:val="000000" w:themeColor="text1"/>
          <w:sz w:val="30"/>
          <w:szCs w:val="30"/>
          <w:lang w:val="en-US" w:eastAsia="zh-CN"/>
          <w14:textFill>
            <w14:solidFill>
              <w14:schemeClr w14:val="tx1"/>
            </w14:solidFill>
          </w14:textFill>
        </w:rPr>
        <w:t>5</w:t>
      </w:r>
    </w:p>
    <w:p>
      <w:pPr>
        <w:rPr>
          <w:rFonts w:hint="eastAsia" w:eastAsia="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4.2</w:t>
      </w:r>
      <w:r>
        <w:rPr>
          <w:rFonts w:hint="eastAsia"/>
          <w:color w:val="000000" w:themeColor="text1"/>
          <w:sz w:val="30"/>
          <w:szCs w:val="30"/>
          <w14:textFill>
            <w14:solidFill>
              <w14:schemeClr w14:val="tx1"/>
            </w14:solidFill>
          </w14:textFill>
        </w:rPr>
        <w:t>学生实习情况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r>
        <w:rPr>
          <w:rFonts w:hint="eastAsia" w:ascii="新宋体" w:hAnsi="新宋体" w:eastAsia="新宋体" w:cs="新宋体"/>
          <w:color w:val="000000" w:themeColor="text1"/>
          <w:sz w:val="30"/>
          <w:szCs w:val="30"/>
          <w:lang w:val="en-US" w:eastAsia="zh-CN"/>
          <w14:textFill>
            <w14:solidFill>
              <w14:schemeClr w14:val="tx1"/>
            </w14:solidFill>
          </w14:textFill>
        </w:rPr>
        <w:t>5</w:t>
      </w:r>
    </w:p>
    <w:p>
      <w:pPr>
        <w:rPr>
          <w:rFonts w:hint="eastAsia" w:eastAsia="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4.3</w:t>
      </w:r>
      <w:r>
        <w:rPr>
          <w:rFonts w:hint="eastAsia"/>
          <w:color w:val="000000" w:themeColor="text1"/>
          <w:sz w:val="30"/>
          <w:szCs w:val="30"/>
          <w14:textFill>
            <w14:solidFill>
              <w14:schemeClr w14:val="tx1"/>
            </w14:solidFill>
          </w14:textFill>
        </w:rPr>
        <w:t>集团化办学情况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r>
        <w:rPr>
          <w:rFonts w:hint="eastAsia" w:ascii="新宋体" w:hAnsi="新宋体" w:eastAsia="新宋体" w:cs="新宋体"/>
          <w:color w:val="000000" w:themeColor="text1"/>
          <w:sz w:val="30"/>
          <w:szCs w:val="30"/>
          <w:lang w:val="en-US" w:eastAsia="zh-CN"/>
          <w14:textFill>
            <w14:solidFill>
              <w14:schemeClr w14:val="tx1"/>
            </w14:solidFill>
          </w14:textFill>
        </w:rPr>
        <w:t>6</w:t>
      </w:r>
    </w:p>
    <w:p>
      <w:pPr>
        <w:numPr>
          <w:ilvl w:val="0"/>
          <w:numId w:val="1"/>
        </w:numP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社会贡献</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28</w:t>
      </w:r>
    </w:p>
    <w:p>
      <w:pPr>
        <w:rPr>
          <w:color w:val="000000" w:themeColor="text1"/>
          <w:sz w:val="30"/>
          <w:szCs w:val="30"/>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5.1</w:t>
      </w:r>
      <w:r>
        <w:rPr>
          <w:rFonts w:hint="eastAsia"/>
          <w:color w:val="000000" w:themeColor="text1"/>
          <w:sz w:val="30"/>
          <w:szCs w:val="30"/>
          <w14:textFill>
            <w14:solidFill>
              <w14:schemeClr w14:val="tx1"/>
            </w14:solidFill>
          </w14:textFill>
        </w:rPr>
        <w:t>技术技能人才培养</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28</w:t>
      </w:r>
    </w:p>
    <w:p>
      <w:pPr>
        <w:rPr>
          <w:rFonts w:hint="eastAsia" w:eastAsia="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5.2</w:t>
      </w:r>
      <w:r>
        <w:rPr>
          <w:rFonts w:hint="eastAsia"/>
          <w:color w:val="000000" w:themeColor="text1"/>
          <w:sz w:val="30"/>
          <w:szCs w:val="30"/>
          <w14:textFill>
            <w14:solidFill>
              <w14:schemeClr w14:val="tx1"/>
            </w14:solidFill>
          </w14:textFill>
        </w:rPr>
        <w:t>社会服务</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r>
        <w:rPr>
          <w:rFonts w:hint="eastAsia" w:ascii="新宋体" w:hAnsi="新宋体" w:eastAsia="新宋体" w:cs="新宋体"/>
          <w:color w:val="000000" w:themeColor="text1"/>
          <w:sz w:val="30"/>
          <w:szCs w:val="30"/>
          <w:lang w:val="en-US" w:eastAsia="zh-CN"/>
          <w14:textFill>
            <w14:solidFill>
              <w14:schemeClr w14:val="tx1"/>
            </w14:solidFill>
          </w14:textFill>
        </w:rPr>
        <w:t>8</w:t>
      </w:r>
    </w:p>
    <w:p>
      <w:pPr>
        <w:rPr>
          <w:color w:val="000000" w:themeColor="text1"/>
          <w:sz w:val="30"/>
          <w:szCs w:val="30"/>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5.3</w:t>
      </w:r>
      <w:r>
        <w:rPr>
          <w:rFonts w:hint="eastAsia"/>
          <w:color w:val="000000" w:themeColor="text1"/>
          <w:sz w:val="30"/>
          <w:szCs w:val="30"/>
          <w14:textFill>
            <w14:solidFill>
              <w14:schemeClr w14:val="tx1"/>
            </w14:solidFill>
          </w14:textFill>
        </w:rPr>
        <w:t>对口支援</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29</w:t>
      </w:r>
    </w:p>
    <w:p>
      <w:pPr>
        <w:numPr>
          <w:ilvl w:val="0"/>
          <w:numId w:val="1"/>
        </w:numP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举办者履责</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lang w:val="en-US" w:eastAsia="zh-CN"/>
          <w14:textFill>
            <w14:solidFill>
              <w14:schemeClr w14:val="tx1"/>
            </w14:solidFill>
          </w14:textFill>
        </w:rPr>
        <w:t>29</w:t>
      </w:r>
    </w:p>
    <w:p>
      <w:pPr>
        <w:rPr>
          <w:rFonts w:hint="default" w:eastAsiaTheme="minorEastAsia"/>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6.1</w:t>
      </w:r>
      <w:r>
        <w:rPr>
          <w:rFonts w:hint="eastAsia"/>
          <w:color w:val="000000" w:themeColor="text1"/>
          <w:sz w:val="30"/>
          <w:szCs w:val="30"/>
          <w14:textFill>
            <w14:solidFill>
              <w14:schemeClr w14:val="tx1"/>
            </w14:solidFill>
          </w14:textFill>
        </w:rPr>
        <w:t>经费保障</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lang w:val="en-US" w:eastAsia="zh-CN"/>
          <w14:textFill>
            <w14:solidFill>
              <w14:schemeClr w14:val="tx1"/>
            </w14:solidFill>
          </w14:textFill>
        </w:rPr>
        <w:t>29</w:t>
      </w:r>
    </w:p>
    <w:p>
      <w:pPr>
        <w:rPr>
          <w:rFonts w:hint="default" w:eastAsiaTheme="minorEastAsia"/>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6.2</w:t>
      </w:r>
      <w:r>
        <w:rPr>
          <w:rFonts w:hint="eastAsia"/>
          <w:color w:val="000000" w:themeColor="text1"/>
          <w:sz w:val="30"/>
          <w:szCs w:val="30"/>
          <w14:textFill>
            <w14:solidFill>
              <w14:schemeClr w14:val="tx1"/>
            </w14:solidFill>
          </w14:textFill>
        </w:rPr>
        <w:t>政策措施</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lang w:val="en-US" w:eastAsia="zh-CN"/>
          <w14:textFill>
            <w14:solidFill>
              <w14:schemeClr w14:val="tx1"/>
            </w14:solidFill>
          </w14:textFill>
        </w:rPr>
        <w:t>29</w:t>
      </w:r>
    </w:p>
    <w:p>
      <w:pPr>
        <w:numPr>
          <w:ilvl w:val="0"/>
          <w:numId w:val="1"/>
        </w:numP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特色创新</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3</w:t>
      </w:r>
      <w:r>
        <w:rPr>
          <w:rFonts w:hint="eastAsia" w:ascii="新宋体" w:hAnsi="新宋体" w:eastAsia="新宋体" w:cs="新宋体"/>
          <w:color w:val="000000" w:themeColor="text1"/>
          <w:sz w:val="30"/>
          <w:szCs w:val="30"/>
          <w:lang w:val="en-US" w:eastAsia="zh-CN"/>
          <w14:textFill>
            <w14:solidFill>
              <w14:schemeClr w14:val="tx1"/>
            </w14:solidFill>
          </w14:textFill>
        </w:rPr>
        <w:t>0</w:t>
      </w:r>
    </w:p>
    <w:p>
      <w:pPr>
        <w:pStyle w:val="6"/>
        <w:shd w:val="clear" w:color="auto" w:fill="FFFFFF"/>
        <w:spacing w:before="0" w:beforeAutospacing="0" w:after="75" w:afterAutospacing="0" w:line="400" w:lineRule="atLeast"/>
        <w:rPr>
          <w:rFonts w:hint="eastAsia" w:eastAsia="新宋体"/>
          <w:color w:val="000000" w:themeColor="text1"/>
          <w:sz w:val="30"/>
          <w:szCs w:val="30"/>
          <w:lang w:val="en-US" w:eastAsia="zh-CN"/>
          <w14:textFill>
            <w14:solidFill>
              <w14:schemeClr w14:val="tx1"/>
            </w14:solidFill>
          </w14:textFill>
        </w:rPr>
      </w:pPr>
      <w:r>
        <w:rPr>
          <w:rFonts w:hint="eastAsia" w:ascii="仿宋" w:hAnsi="仿宋" w:eastAsia="仿宋" w:cs="仿宋_GB2312"/>
          <w:kern w:val="2"/>
          <w:sz w:val="30"/>
          <w:szCs w:val="30"/>
        </w:rPr>
        <w:t>案例一：</w:t>
      </w:r>
      <w:r>
        <w:rPr>
          <w:rFonts w:hint="eastAsia" w:ascii="仿宋" w:hAnsi="仿宋" w:eastAsia="仿宋"/>
          <w:sz w:val="30"/>
          <w:szCs w:val="30"/>
        </w:rPr>
        <w:t>探索校企合作、产教融合的办学模式</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3</w:t>
      </w:r>
      <w:r>
        <w:rPr>
          <w:rFonts w:hint="eastAsia" w:ascii="新宋体" w:hAnsi="新宋体" w:eastAsia="新宋体" w:cs="新宋体"/>
          <w:color w:val="000000" w:themeColor="text1"/>
          <w:sz w:val="30"/>
          <w:szCs w:val="30"/>
          <w:lang w:val="en-US" w:eastAsia="zh-CN"/>
          <w14:textFill>
            <w14:solidFill>
              <w14:schemeClr w14:val="tx1"/>
            </w14:solidFill>
          </w14:textFill>
        </w:rPr>
        <w:t>1</w:t>
      </w:r>
    </w:p>
    <w:p>
      <w:pPr>
        <w:numPr>
          <w:ilvl w:val="0"/>
          <w:numId w:val="1"/>
        </w:numP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主要问题和改进措施</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3</w:t>
      </w:r>
      <w:r>
        <w:rPr>
          <w:rFonts w:hint="eastAsia" w:ascii="新宋体" w:hAnsi="新宋体" w:eastAsia="新宋体" w:cs="新宋体"/>
          <w:color w:val="000000" w:themeColor="text1"/>
          <w:sz w:val="30"/>
          <w:szCs w:val="30"/>
          <w:lang w:val="en-US" w:eastAsia="zh-CN"/>
          <w14:textFill>
            <w14:solidFill>
              <w14:schemeClr w14:val="tx1"/>
            </w14:solidFill>
          </w14:textFill>
        </w:rPr>
        <w:t>6</w:t>
      </w:r>
    </w:p>
    <w:p>
      <w:pPr>
        <w:rPr>
          <w:rFonts w:hint="eastAsia" w:eastAsia="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8.1</w:t>
      </w:r>
      <w:r>
        <w:rPr>
          <w:rFonts w:hint="eastAsia"/>
          <w:color w:val="000000" w:themeColor="text1"/>
          <w:sz w:val="30"/>
          <w:szCs w:val="30"/>
          <w14:textFill>
            <w14:solidFill>
              <w14:schemeClr w14:val="tx1"/>
            </w14:solidFill>
          </w14:textFill>
        </w:rPr>
        <w:t>人才培养中存在的问题</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3</w:t>
      </w:r>
      <w:r>
        <w:rPr>
          <w:rFonts w:hint="eastAsia" w:ascii="新宋体" w:hAnsi="新宋体" w:eastAsia="新宋体" w:cs="新宋体"/>
          <w:color w:val="000000" w:themeColor="text1"/>
          <w:sz w:val="30"/>
          <w:szCs w:val="30"/>
          <w:lang w:val="en-US" w:eastAsia="zh-CN"/>
          <w14:textFill>
            <w14:solidFill>
              <w14:schemeClr w14:val="tx1"/>
            </w14:solidFill>
          </w14:textFill>
        </w:rPr>
        <w:t>6</w:t>
      </w:r>
    </w:p>
    <w:p>
      <w:pPr>
        <w:rPr>
          <w:rFonts w:hint="eastAsia" w:ascii="仿宋" w:hAnsi="仿宋" w:eastAsia="新宋体" w:cs="宋体"/>
          <w:b/>
          <w:bCs/>
          <w:sz w:val="44"/>
          <w:szCs w:val="44"/>
          <w:lang w:val="en-US" w:eastAsia="zh-CN"/>
        </w:rPr>
      </w:pPr>
      <w:r>
        <w:rPr>
          <w:rFonts w:hint="eastAsia" w:ascii="新宋体" w:hAnsi="新宋体" w:eastAsia="新宋体" w:cs="新宋体"/>
          <w:color w:val="000000" w:themeColor="text1"/>
          <w:sz w:val="30"/>
          <w:szCs w:val="30"/>
          <w14:textFill>
            <w14:solidFill>
              <w14:schemeClr w14:val="tx1"/>
            </w14:solidFill>
          </w14:textFill>
        </w:rPr>
        <w:t>8.2</w:t>
      </w:r>
      <w:r>
        <w:rPr>
          <w:rFonts w:hint="eastAsia"/>
          <w:color w:val="000000" w:themeColor="text1"/>
          <w:sz w:val="30"/>
          <w:szCs w:val="30"/>
          <w14:textFill>
            <w14:solidFill>
              <w14:schemeClr w14:val="tx1"/>
            </w14:solidFill>
          </w14:textFill>
        </w:rPr>
        <w:t>改进措施</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3</w:t>
      </w:r>
      <w:r>
        <w:rPr>
          <w:rFonts w:hint="eastAsia" w:ascii="新宋体" w:hAnsi="新宋体" w:eastAsia="新宋体" w:cs="新宋体"/>
          <w:color w:val="000000" w:themeColor="text1"/>
          <w:sz w:val="30"/>
          <w:szCs w:val="30"/>
          <w:lang w:val="en-US" w:eastAsia="zh-CN"/>
          <w14:textFill>
            <w14:solidFill>
              <w14:schemeClr w14:val="tx1"/>
            </w14:solidFill>
          </w14:textFill>
        </w:rPr>
        <w:t>6</w:t>
      </w:r>
    </w:p>
    <w:p>
      <w:pPr>
        <w:jc w:val="center"/>
        <w:rPr>
          <w:rFonts w:ascii="仿宋" w:hAnsi="仿宋" w:eastAsia="仿宋" w:cs="宋体"/>
          <w:b/>
          <w:bCs/>
          <w:sz w:val="44"/>
          <w:szCs w:val="44"/>
        </w:rPr>
      </w:pPr>
    </w:p>
    <w:p>
      <w:pPr>
        <w:jc w:val="center"/>
        <w:rPr>
          <w:rFonts w:ascii="仿宋" w:hAnsi="仿宋" w:eastAsia="仿宋" w:cs="宋体"/>
          <w:b/>
          <w:bCs/>
          <w:sz w:val="44"/>
          <w:szCs w:val="44"/>
        </w:rPr>
      </w:pPr>
    </w:p>
    <w:p>
      <w:pPr>
        <w:jc w:val="center"/>
        <w:rPr>
          <w:rFonts w:ascii="仿宋" w:hAnsi="仿宋" w:eastAsia="仿宋" w:cs="宋体"/>
          <w:b/>
          <w:bCs/>
          <w:sz w:val="44"/>
          <w:szCs w:val="44"/>
        </w:rPr>
      </w:pPr>
    </w:p>
    <w:p>
      <w:pPr>
        <w:jc w:val="center"/>
        <w:rPr>
          <w:rFonts w:ascii="仿宋" w:hAnsi="仿宋" w:eastAsia="仿宋" w:cs="宋体"/>
          <w:b/>
          <w:bCs/>
          <w:sz w:val="44"/>
          <w:szCs w:val="44"/>
        </w:rPr>
      </w:pPr>
    </w:p>
    <w:p>
      <w:pPr>
        <w:jc w:val="center"/>
        <w:rPr>
          <w:rFonts w:ascii="仿宋" w:hAnsi="仿宋" w:eastAsia="仿宋" w:cs="宋体"/>
          <w:b/>
          <w:bCs/>
          <w:sz w:val="44"/>
          <w:szCs w:val="44"/>
        </w:rPr>
        <w:sectPr>
          <w:pgSz w:w="11906" w:h="16838"/>
          <w:pgMar w:top="1440" w:right="1800" w:bottom="1440" w:left="1800" w:header="851" w:footer="992" w:gutter="0"/>
          <w:cols w:space="425" w:num="1"/>
          <w:docGrid w:type="lines" w:linePitch="312" w:charSpace="0"/>
        </w:sectPr>
      </w:pPr>
    </w:p>
    <w:p>
      <w:pPr>
        <w:jc w:val="center"/>
        <w:rPr>
          <w:rFonts w:ascii="仿宋" w:hAnsi="仿宋" w:eastAsia="仿宋" w:cs="宋体"/>
          <w:b/>
          <w:bCs/>
          <w:color w:val="000000"/>
          <w:sz w:val="44"/>
          <w:szCs w:val="44"/>
          <w:shd w:val="clear" w:color="auto" w:fill="FFFFFF"/>
        </w:rPr>
      </w:pPr>
      <w:r>
        <w:rPr>
          <w:rFonts w:hint="eastAsia" w:ascii="仿宋" w:hAnsi="仿宋" w:eastAsia="仿宋" w:cs="宋体"/>
          <w:b/>
          <w:bCs/>
          <w:sz w:val="44"/>
          <w:szCs w:val="44"/>
        </w:rPr>
        <w:t>南充电子工业</w:t>
      </w:r>
      <w:r>
        <w:rPr>
          <w:rFonts w:hint="eastAsia" w:ascii="仿宋" w:hAnsi="仿宋" w:eastAsia="仿宋" w:cs="宋体"/>
          <w:b/>
          <w:bCs/>
          <w:color w:val="000000"/>
          <w:sz w:val="44"/>
          <w:szCs w:val="44"/>
          <w:shd w:val="clear" w:color="auto" w:fill="FFFFFF"/>
        </w:rPr>
        <w:t>学校质量年度报告</w:t>
      </w:r>
    </w:p>
    <w:p>
      <w:pPr>
        <w:pStyle w:val="11"/>
        <w:ind w:firstLine="0" w:firstLineChars="0"/>
        <w:jc w:val="center"/>
        <w:rPr>
          <w:rFonts w:ascii="仿宋" w:hAnsi="仿宋" w:eastAsia="仿宋" w:cs="新宋体"/>
          <w:b/>
          <w:bCs/>
          <w:color w:val="000000"/>
          <w:sz w:val="32"/>
          <w:szCs w:val="32"/>
          <w:shd w:val="clear" w:color="auto" w:fill="FFFFFF"/>
        </w:rPr>
      </w:pPr>
      <w:r>
        <w:rPr>
          <w:rFonts w:hint="eastAsia" w:ascii="仿宋" w:hAnsi="仿宋" w:eastAsia="仿宋" w:cs="新宋体"/>
          <w:b/>
          <w:bCs/>
          <w:color w:val="000000"/>
          <w:sz w:val="32"/>
          <w:szCs w:val="32"/>
          <w:shd w:val="clear" w:color="auto" w:fill="FFFFFF"/>
        </w:rPr>
        <w:t>（2019年度）</w:t>
      </w:r>
    </w:p>
    <w:p>
      <w:pPr>
        <w:rPr>
          <w:rFonts w:ascii="仿宋" w:hAnsi="仿宋" w:eastAsia="仿宋" w:cs="仿宋_GB2312"/>
          <w:b/>
          <w:bCs/>
          <w:color w:val="000000"/>
          <w:sz w:val="36"/>
          <w:szCs w:val="36"/>
          <w:shd w:val="clear" w:color="auto" w:fill="FFFFFF"/>
        </w:rPr>
      </w:pPr>
      <w:r>
        <w:rPr>
          <w:rFonts w:hint="eastAsia" w:ascii="仿宋" w:hAnsi="仿宋" w:eastAsia="仿宋" w:cs="仿宋_GB2312"/>
          <w:b/>
          <w:bCs/>
          <w:color w:val="000000"/>
          <w:sz w:val="36"/>
          <w:szCs w:val="36"/>
          <w:shd w:val="clear" w:color="auto" w:fill="FFFFFF"/>
        </w:rPr>
        <w:t>一、学校情况</w:t>
      </w:r>
    </w:p>
    <w:p>
      <w:pPr>
        <w:ind w:firstLine="643" w:firstLineChars="200"/>
        <w:rPr>
          <w:rFonts w:ascii="仿宋" w:hAnsi="仿宋" w:eastAsia="仿宋" w:cs="仿宋_GB2312"/>
          <w:b/>
          <w:color w:val="000000"/>
          <w:sz w:val="32"/>
          <w:szCs w:val="32"/>
          <w:shd w:val="clear" w:color="auto" w:fill="FFFFFF"/>
        </w:rPr>
      </w:pPr>
      <w:r>
        <w:rPr>
          <w:rFonts w:hint="eastAsia" w:ascii="仿宋" w:hAnsi="仿宋" w:eastAsia="仿宋" w:cs="仿宋_GB2312"/>
          <w:b/>
          <w:sz w:val="32"/>
          <w:szCs w:val="32"/>
        </w:rPr>
        <w:t>1.1学校概况</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南充电子工业学校成立于1998年，</w:t>
      </w:r>
      <w:r>
        <w:rPr>
          <w:rFonts w:hint="eastAsia" w:ascii="仿宋" w:hAnsi="仿宋" w:eastAsia="仿宋" w:cs="仿宋"/>
          <w:sz w:val="32"/>
          <w:szCs w:val="32"/>
        </w:rPr>
        <w:t>是经南充市教育局批准，南充市民政局登记成立的一所具备法人资格的民办中等职业学校</w:t>
      </w:r>
      <w:r>
        <w:rPr>
          <w:rFonts w:hint="eastAsia" w:ascii="仿宋" w:hAnsi="仿宋" w:eastAsia="仿宋" w:cs="仿宋_GB2312"/>
          <w:sz w:val="32"/>
          <w:szCs w:val="32"/>
        </w:rPr>
        <w:t>，学校位于南充市高坪区东顺路三段109号，学校是南充大成职业教育集团核心成员学校。</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学校实行集团董事会领导下的校长负责制。学校设校长1人，党支部书记1人，副校长2人；校长为研究生学历、副教授，从事教学及教学管理工作30余年；副校长均为本科学历，具有高级职称2人，中级职称1人，均有从事十年以上教育教学工作的经历，有较高思想政治素质和较强管理能力、熟悉职业教育发展规律。</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学校现开设有电子技术应用、计算机应用、汽车运用与维修、工程造价、铁道运输管理、会计电算化、电子商务等13个专业，有教学班82个，中职在校学生4000余人。学校设置的专业符合当地社会经济建设需要，有明确的教学计划、教学大纲等教学文件，以及相适应的课程标准和教材。</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学校占地面积</w:t>
      </w:r>
      <w:r>
        <w:rPr>
          <w:rFonts w:hint="eastAsia" w:ascii="仿宋" w:hAnsi="仿宋" w:eastAsia="仿宋" w:cs="仿宋_GB2312"/>
          <w:color w:val="000000" w:themeColor="text1"/>
          <w:sz w:val="32"/>
          <w:szCs w:val="32"/>
          <w:lang w:val="en-US" w:eastAsia="zh-CN"/>
          <w14:textFill>
            <w14:solidFill>
              <w14:schemeClr w14:val="tx1"/>
            </w14:solidFill>
          </w14:textFill>
        </w:rPr>
        <w:t>53733</w:t>
      </w:r>
      <w:r>
        <w:rPr>
          <w:rFonts w:hint="eastAsia" w:ascii="仿宋" w:hAnsi="仿宋" w:eastAsia="仿宋" w:cs="仿宋_GB2312"/>
          <w:color w:val="000000" w:themeColor="text1"/>
          <w:sz w:val="32"/>
          <w:szCs w:val="32"/>
          <w14:textFill>
            <w14:solidFill>
              <w14:schemeClr w14:val="tx1"/>
            </w14:solidFill>
          </w14:textFill>
        </w:rPr>
        <w:t>平方米，生均用地面积1</w:t>
      </w:r>
      <w:r>
        <w:rPr>
          <w:rFonts w:hint="eastAsia" w:ascii="仿宋" w:hAnsi="仿宋" w:eastAsia="仿宋" w:cs="仿宋_GB2312"/>
          <w:color w:val="000000" w:themeColor="text1"/>
          <w:sz w:val="32"/>
          <w:szCs w:val="32"/>
          <w:lang w:val="en-US" w:eastAsia="zh-CN"/>
          <w14:textFill>
            <w14:solidFill>
              <w14:schemeClr w14:val="tx1"/>
            </w14:solidFill>
          </w14:textFill>
        </w:rPr>
        <w:t>3</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6</w:t>
      </w:r>
      <w:r>
        <w:rPr>
          <w:rFonts w:hint="eastAsia" w:ascii="仿宋" w:hAnsi="仿宋" w:eastAsia="仿宋" w:cs="仿宋_GB2312"/>
          <w:color w:val="000000" w:themeColor="text1"/>
          <w:sz w:val="32"/>
          <w:szCs w:val="32"/>
          <w14:textFill>
            <w14:solidFill>
              <w14:schemeClr w14:val="tx1"/>
            </w14:solidFill>
          </w14:textFill>
        </w:rPr>
        <w:t>平方米。校舍建筑面积</w:t>
      </w:r>
      <w:r>
        <w:rPr>
          <w:rFonts w:hint="eastAsia" w:ascii="仿宋" w:hAnsi="仿宋" w:eastAsia="仿宋" w:cs="仿宋_GB2312"/>
          <w:color w:val="000000" w:themeColor="text1"/>
          <w:sz w:val="32"/>
          <w:szCs w:val="32"/>
          <w:lang w:val="en-US" w:eastAsia="zh-CN"/>
          <w14:textFill>
            <w14:solidFill>
              <w14:schemeClr w14:val="tx1"/>
            </w14:solidFill>
          </w14:textFill>
        </w:rPr>
        <w:t>67333</w:t>
      </w:r>
      <w:r>
        <w:rPr>
          <w:rFonts w:hint="eastAsia" w:ascii="仿宋" w:hAnsi="仿宋" w:eastAsia="仿宋" w:cs="仿宋_GB2312"/>
          <w:color w:val="000000" w:themeColor="text1"/>
          <w:sz w:val="32"/>
          <w:szCs w:val="32"/>
          <w14:textFill>
            <w14:solidFill>
              <w14:schemeClr w14:val="tx1"/>
            </w14:solidFill>
          </w14:textFill>
        </w:rPr>
        <w:t>平方米，生均校舍建筑面积1</w:t>
      </w:r>
      <w:r>
        <w:rPr>
          <w:rFonts w:hint="eastAsia" w:ascii="仿宋" w:hAnsi="仿宋" w:eastAsia="仿宋" w:cs="仿宋_GB2312"/>
          <w:color w:val="000000" w:themeColor="text1"/>
          <w:sz w:val="32"/>
          <w:szCs w:val="32"/>
          <w:lang w:val="en-US" w:eastAsia="zh-CN"/>
          <w14:textFill>
            <w14:solidFill>
              <w14:schemeClr w14:val="tx1"/>
            </w14:solidFill>
          </w14:textFill>
        </w:rPr>
        <w:t>7</w:t>
      </w:r>
      <w:r>
        <w:rPr>
          <w:rFonts w:hint="eastAsia" w:ascii="仿宋" w:hAnsi="仿宋" w:eastAsia="仿宋" w:cs="仿宋_GB2312"/>
          <w:color w:val="000000" w:themeColor="text1"/>
          <w:sz w:val="32"/>
          <w:szCs w:val="32"/>
          <w14:textFill>
            <w14:solidFill>
              <w14:schemeClr w14:val="tx1"/>
            </w14:solidFill>
          </w14:textFill>
        </w:rPr>
        <w:t>平方米。</w:t>
      </w:r>
    </w:p>
    <w:p>
      <w:pPr>
        <w:ind w:firstLine="640" w:firstLineChars="200"/>
        <w:rPr>
          <w:rFonts w:ascii="仿宋" w:hAnsi="仿宋" w:eastAsia="仿宋" w:cs="仿宋_GB2312"/>
          <w:sz w:val="32"/>
          <w:szCs w:val="32"/>
        </w:rPr>
      </w:pPr>
      <w:r>
        <w:rPr>
          <w:rFonts w:hint="eastAsia" w:ascii="仿宋" w:hAnsi="仿宋" w:eastAsia="仿宋" w:cs="仿宋_GB2312"/>
          <w:color w:val="000000" w:themeColor="text1"/>
          <w:sz w:val="32"/>
          <w:szCs w:val="32"/>
          <w14:textFill>
            <w14:solidFill>
              <w14:schemeClr w14:val="tx1"/>
            </w14:solidFill>
          </w14:textFill>
        </w:rPr>
        <w:t>学校有300米的环型跑道田径场，标准篮球场2个，足球场1个、室内体育馆1个，有满足教学和体育活动需要的其他设施和场地，学校卫</w:t>
      </w:r>
      <w:r>
        <w:rPr>
          <w:rFonts w:hint="eastAsia" w:ascii="仿宋" w:hAnsi="仿宋" w:eastAsia="仿宋" w:cs="仿宋_GB2312"/>
          <w:sz w:val="32"/>
          <w:szCs w:val="32"/>
        </w:rPr>
        <w:t>生保健、校园安全机构健全，教学、生活设施设备符合《学校卫生工作条例》的基本要求，校园安全有保障。</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sz w:val="32"/>
          <w:szCs w:val="32"/>
        </w:rPr>
        <w:t>学校创办20年来，多次获得省、市、区的表彰奖励；学校有工业和信息产业部与人力资源和社会保障部认定的国家职业技能鉴定站各一个、被授予“四川省劳务开发培训基地”、“南充市重点中等职业学校”、</w:t>
      </w:r>
      <w:r>
        <w:rPr>
          <w:rFonts w:hint="eastAsia" w:ascii="仿宋" w:hAnsi="仿宋" w:eastAsia="仿宋" w:cs="仿宋_GB2312"/>
          <w:color w:val="000000" w:themeColor="text1"/>
          <w:sz w:val="32"/>
          <w:szCs w:val="32"/>
          <w14:textFill>
            <w14:solidFill>
              <w14:schemeClr w14:val="tx1"/>
            </w14:solidFill>
          </w14:textFill>
        </w:rPr>
        <w:t>“南充市高技能人才培训基地”。</w:t>
      </w:r>
    </w:p>
    <w:p>
      <w:pPr>
        <w:ind w:firstLine="643" w:firstLineChars="200"/>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shd w:val="clear" w:color="auto" w:fill="FFFFFF"/>
          <w14:textFill>
            <w14:solidFill>
              <w14:schemeClr w14:val="tx1"/>
            </w14:solidFill>
          </w14:textFill>
        </w:rPr>
        <w:t>1.2学生情况</w:t>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2019年，在校生3960人，招收新生1970人，学校毕业生500人。与上一年度变化情况如图所示：学生规模对照图（图1），学生情况与上年度相比变化（图2）</w:t>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图1:</w:t>
      </w:r>
    </w:p>
    <w:p>
      <w:pPr>
        <w:widowControl/>
        <w:jc w:val="left"/>
        <w:rPr>
          <w:rFonts w:ascii="仿宋" w:hAnsi="仿宋" w:eastAsia="仿宋"/>
        </w:rPr>
      </w:pPr>
      <w:r>
        <w:drawing>
          <wp:inline distT="0" distB="0" distL="114300" distR="114300">
            <wp:extent cx="5250180" cy="2493010"/>
            <wp:effectExtent l="4445" t="4445" r="22225" b="1714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图2:</w:t>
      </w:r>
    </w:p>
    <w:p>
      <w:pPr>
        <w:widowControl/>
        <w:jc w:val="center"/>
        <w:rPr>
          <w:rFonts w:ascii="仿宋" w:hAnsi="仿宋" w:eastAsia="仿宋"/>
          <w:sz w:val="32"/>
          <w:szCs w:val="32"/>
        </w:rPr>
      </w:pPr>
      <w:r>
        <w:drawing>
          <wp:inline distT="0" distB="0" distL="114300" distR="114300">
            <wp:extent cx="4905375" cy="2898140"/>
            <wp:effectExtent l="4445" t="4445" r="5080" b="1206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3" w:firstLineChars="200"/>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shd w:val="clear" w:color="auto" w:fill="FFFFFF"/>
          <w14:textFill>
            <w14:solidFill>
              <w14:schemeClr w14:val="tx1"/>
            </w14:solidFill>
          </w14:textFill>
        </w:rPr>
        <w:t>1.3教师队伍</w:t>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为努力建设一支业务精湛、素质优良、专兼结合的教师队伍，我校采取</w:t>
      </w:r>
      <w:r>
        <w:rPr>
          <w:rFonts w:ascii="仿宋" w:hAnsi="仿宋" w:eastAsia="仿宋" w:cstheme="minorBidi"/>
          <w:color w:val="000000" w:themeColor="text1"/>
          <w:kern w:val="2"/>
          <w:sz w:val="32"/>
          <w:szCs w:val="32"/>
          <w14:textFill>
            <w14:solidFill>
              <w14:schemeClr w14:val="tx1"/>
            </w14:solidFill>
          </w14:textFill>
        </w:rPr>
        <w:t>教师专项</w:t>
      </w:r>
      <w:r>
        <w:rPr>
          <w:rFonts w:hint="eastAsia" w:ascii="仿宋" w:hAnsi="仿宋" w:eastAsia="仿宋" w:cstheme="minorBidi"/>
          <w:color w:val="000000" w:themeColor="text1"/>
          <w:kern w:val="2"/>
          <w:sz w:val="32"/>
          <w:szCs w:val="32"/>
          <w14:textFill>
            <w14:solidFill>
              <w14:schemeClr w14:val="tx1"/>
            </w14:solidFill>
          </w14:textFill>
        </w:rPr>
        <w:t>培训、专业教师轮训等方式，对在职教师实施“双师型”培训，并通过企业、社会、院校等引进专、兼职专业技术教师，从而提升了我校教师的业务水平。2019年，我校有专任教师</w:t>
      </w:r>
      <w:r>
        <w:rPr>
          <w:rFonts w:hint="eastAsia" w:ascii="仿宋" w:hAnsi="仿宋" w:eastAsia="仿宋" w:cstheme="minorBidi"/>
          <w:color w:val="000000" w:themeColor="text1"/>
          <w:kern w:val="2"/>
          <w:sz w:val="32"/>
          <w:szCs w:val="32"/>
          <w:lang w:val="en-US" w:eastAsia="zh-CN"/>
          <w14:textFill>
            <w14:solidFill>
              <w14:schemeClr w14:val="tx1"/>
            </w14:solidFill>
          </w14:textFill>
        </w:rPr>
        <w:t>92</w:t>
      </w:r>
      <w:r>
        <w:rPr>
          <w:rFonts w:hint="eastAsia" w:ascii="仿宋" w:hAnsi="仿宋" w:eastAsia="仿宋" w:cstheme="minorBidi"/>
          <w:color w:val="000000" w:themeColor="text1"/>
          <w:kern w:val="2"/>
          <w:sz w:val="32"/>
          <w:szCs w:val="32"/>
          <w14:textFill>
            <w14:solidFill>
              <w14:schemeClr w14:val="tx1"/>
            </w14:solidFill>
          </w14:textFill>
        </w:rPr>
        <w:t>人，兼职教师1</w:t>
      </w:r>
      <w:r>
        <w:rPr>
          <w:rFonts w:hint="eastAsia" w:ascii="仿宋" w:hAnsi="仿宋" w:eastAsia="仿宋" w:cstheme="minorBidi"/>
          <w:color w:val="000000" w:themeColor="text1"/>
          <w:kern w:val="2"/>
          <w:sz w:val="32"/>
          <w:szCs w:val="32"/>
          <w:lang w:val="en-US" w:eastAsia="zh-CN"/>
          <w14:textFill>
            <w14:solidFill>
              <w14:schemeClr w14:val="tx1"/>
            </w14:solidFill>
          </w14:textFill>
        </w:rPr>
        <w:t>6</w:t>
      </w:r>
      <w:r>
        <w:rPr>
          <w:rFonts w:hint="eastAsia" w:ascii="仿宋" w:hAnsi="仿宋" w:eastAsia="仿宋" w:cstheme="minorBidi"/>
          <w:color w:val="000000" w:themeColor="text1"/>
          <w:kern w:val="2"/>
          <w:sz w:val="32"/>
          <w:szCs w:val="32"/>
          <w14:textFill>
            <w14:solidFill>
              <w14:schemeClr w14:val="tx1"/>
            </w14:solidFill>
          </w14:textFill>
        </w:rPr>
        <w:t>人，外聘老师5人，生师比为3</w:t>
      </w:r>
      <w:r>
        <w:rPr>
          <w:rFonts w:hint="eastAsia" w:ascii="仿宋" w:hAnsi="仿宋" w:eastAsia="仿宋" w:cstheme="minorBidi"/>
          <w:color w:val="000000" w:themeColor="text1"/>
          <w:kern w:val="2"/>
          <w:sz w:val="32"/>
          <w:szCs w:val="32"/>
          <w:lang w:val="en-US" w:eastAsia="zh-CN"/>
          <w14:textFill>
            <w14:solidFill>
              <w14:schemeClr w14:val="tx1"/>
            </w14:solidFill>
          </w14:textFill>
        </w:rPr>
        <w:t>5</w:t>
      </w:r>
      <w:r>
        <w:rPr>
          <w:rFonts w:hint="eastAsia" w:ascii="仿宋" w:hAnsi="仿宋" w:eastAsia="仿宋" w:cstheme="minorBidi"/>
          <w:color w:val="000000" w:themeColor="text1"/>
          <w:kern w:val="2"/>
          <w:sz w:val="32"/>
          <w:szCs w:val="32"/>
          <w14:textFill>
            <w14:solidFill>
              <w14:schemeClr w14:val="tx1"/>
            </w14:solidFill>
          </w14:textFill>
        </w:rPr>
        <w:t>.</w:t>
      </w:r>
      <w:r>
        <w:rPr>
          <w:rFonts w:hint="eastAsia" w:ascii="仿宋" w:hAnsi="仿宋" w:eastAsia="仿宋" w:cstheme="minorBidi"/>
          <w:color w:val="000000" w:themeColor="text1"/>
          <w:kern w:val="2"/>
          <w:sz w:val="32"/>
          <w:szCs w:val="32"/>
          <w:lang w:val="en-US" w:eastAsia="zh-CN"/>
          <w14:textFill>
            <w14:solidFill>
              <w14:schemeClr w14:val="tx1"/>
            </w14:solidFill>
          </w14:textFill>
        </w:rPr>
        <w:t>04</w:t>
      </w:r>
      <w:r>
        <w:rPr>
          <w:rFonts w:hint="eastAsia" w:ascii="仿宋" w:hAnsi="仿宋" w:eastAsia="仿宋" w:cstheme="minorBidi"/>
          <w:color w:val="000000" w:themeColor="text1"/>
          <w:kern w:val="2"/>
          <w:sz w:val="32"/>
          <w:szCs w:val="32"/>
          <w14:textFill>
            <w14:solidFill>
              <w14:schemeClr w14:val="tx1"/>
            </w14:solidFill>
          </w14:textFill>
        </w:rPr>
        <w:t>:1；高级职称9人，中级职称1</w:t>
      </w:r>
      <w:r>
        <w:rPr>
          <w:rFonts w:hint="eastAsia" w:ascii="仿宋" w:hAnsi="仿宋" w:eastAsia="仿宋" w:cstheme="minorBidi"/>
          <w:color w:val="000000" w:themeColor="text1"/>
          <w:kern w:val="2"/>
          <w:sz w:val="32"/>
          <w:szCs w:val="32"/>
          <w:lang w:val="en-US" w:eastAsia="zh-CN"/>
          <w14:textFill>
            <w14:solidFill>
              <w14:schemeClr w14:val="tx1"/>
            </w14:solidFill>
          </w14:textFill>
        </w:rPr>
        <w:t>6</w:t>
      </w:r>
      <w:r>
        <w:rPr>
          <w:rFonts w:hint="eastAsia" w:ascii="仿宋" w:hAnsi="仿宋" w:eastAsia="仿宋" w:cstheme="minorBidi"/>
          <w:color w:val="000000" w:themeColor="text1"/>
          <w:kern w:val="2"/>
          <w:sz w:val="32"/>
          <w:szCs w:val="32"/>
          <w14:textFill>
            <w14:solidFill>
              <w14:schemeClr w14:val="tx1"/>
            </w14:solidFill>
          </w14:textFill>
        </w:rPr>
        <w:t>人，初级职称</w:t>
      </w:r>
      <w:r>
        <w:rPr>
          <w:rFonts w:hint="eastAsia" w:ascii="仿宋" w:hAnsi="仿宋" w:eastAsia="仿宋" w:cstheme="minorBidi"/>
          <w:color w:val="000000" w:themeColor="text1"/>
          <w:kern w:val="2"/>
          <w:sz w:val="32"/>
          <w:szCs w:val="32"/>
          <w:lang w:val="en-US" w:eastAsia="zh-CN"/>
          <w14:textFill>
            <w14:solidFill>
              <w14:schemeClr w14:val="tx1"/>
            </w14:solidFill>
          </w14:textFill>
        </w:rPr>
        <w:t>7</w:t>
      </w:r>
      <w:r>
        <w:rPr>
          <w:rFonts w:hint="eastAsia" w:ascii="仿宋" w:hAnsi="仿宋" w:eastAsia="仿宋" w:cstheme="minorBidi"/>
          <w:color w:val="000000" w:themeColor="text1"/>
          <w:kern w:val="2"/>
          <w:sz w:val="32"/>
          <w:szCs w:val="32"/>
          <w14:textFill>
            <w14:solidFill>
              <w14:schemeClr w14:val="tx1"/>
            </w14:solidFill>
          </w14:textFill>
        </w:rPr>
        <w:t>人，本科学历</w:t>
      </w:r>
      <w:r>
        <w:rPr>
          <w:rFonts w:hint="eastAsia" w:ascii="仿宋" w:hAnsi="仿宋" w:eastAsia="仿宋" w:cstheme="minorBidi"/>
          <w:color w:val="000000" w:themeColor="text1"/>
          <w:kern w:val="2"/>
          <w:sz w:val="32"/>
          <w:szCs w:val="32"/>
          <w:lang w:val="en-US" w:eastAsia="zh-CN"/>
          <w14:textFill>
            <w14:solidFill>
              <w14:schemeClr w14:val="tx1"/>
            </w14:solidFill>
          </w14:textFill>
        </w:rPr>
        <w:t>52</w:t>
      </w:r>
      <w:r>
        <w:rPr>
          <w:rFonts w:hint="eastAsia" w:ascii="仿宋" w:hAnsi="仿宋" w:eastAsia="仿宋" w:cstheme="minorBidi"/>
          <w:color w:val="000000" w:themeColor="text1"/>
          <w:kern w:val="2"/>
          <w:sz w:val="32"/>
          <w:szCs w:val="32"/>
          <w14:textFill>
            <w14:solidFill>
              <w14:schemeClr w14:val="tx1"/>
            </w14:solidFill>
          </w14:textFill>
        </w:rPr>
        <w:t>人，专科学历</w:t>
      </w:r>
      <w:r>
        <w:rPr>
          <w:rFonts w:hint="eastAsia" w:ascii="仿宋" w:hAnsi="仿宋" w:eastAsia="仿宋" w:cstheme="minorBidi"/>
          <w:color w:val="000000" w:themeColor="text1"/>
          <w:kern w:val="2"/>
          <w:sz w:val="32"/>
          <w:szCs w:val="32"/>
          <w:lang w:val="en-US" w:eastAsia="zh-CN"/>
          <w14:textFill>
            <w14:solidFill>
              <w14:schemeClr w14:val="tx1"/>
            </w14:solidFill>
          </w14:textFill>
        </w:rPr>
        <w:t>5</w:t>
      </w:r>
      <w:r>
        <w:rPr>
          <w:rFonts w:hint="eastAsia" w:ascii="仿宋" w:hAnsi="仿宋" w:eastAsia="仿宋" w:cstheme="minorBidi"/>
          <w:color w:val="000000" w:themeColor="text1"/>
          <w:kern w:val="2"/>
          <w:sz w:val="32"/>
          <w:szCs w:val="32"/>
          <w14:textFill>
            <w14:solidFill>
              <w14:schemeClr w14:val="tx1"/>
            </w14:solidFill>
          </w14:textFill>
        </w:rPr>
        <w:t>3人；50周岁以上的教师9人，35-50岁的教师23人，35岁以下的专业教师</w:t>
      </w:r>
      <w:r>
        <w:rPr>
          <w:rFonts w:hint="eastAsia" w:ascii="仿宋" w:hAnsi="仿宋" w:eastAsia="仿宋" w:cstheme="minorBidi"/>
          <w:color w:val="000000" w:themeColor="text1"/>
          <w:kern w:val="2"/>
          <w:sz w:val="32"/>
          <w:szCs w:val="32"/>
          <w:lang w:val="en-US" w:eastAsia="zh-CN"/>
          <w14:textFill>
            <w14:solidFill>
              <w14:schemeClr w14:val="tx1"/>
            </w14:solidFill>
          </w14:textFill>
        </w:rPr>
        <w:t>50</w:t>
      </w:r>
      <w:r>
        <w:rPr>
          <w:rFonts w:hint="eastAsia" w:ascii="仿宋" w:hAnsi="仿宋" w:eastAsia="仿宋" w:cstheme="minorBidi"/>
          <w:color w:val="000000" w:themeColor="text1"/>
          <w:kern w:val="2"/>
          <w:sz w:val="32"/>
          <w:szCs w:val="32"/>
          <w14:textFill>
            <w14:solidFill>
              <w14:schemeClr w14:val="tx1"/>
            </w14:solidFill>
          </w14:textFill>
        </w:rPr>
        <w:t>人；双师型教师1</w:t>
      </w:r>
      <w:r>
        <w:rPr>
          <w:rFonts w:hint="eastAsia" w:ascii="仿宋" w:hAnsi="仿宋" w:eastAsia="仿宋" w:cstheme="minorBidi"/>
          <w:color w:val="000000" w:themeColor="text1"/>
          <w:kern w:val="2"/>
          <w:sz w:val="32"/>
          <w:szCs w:val="32"/>
          <w:lang w:val="en-US" w:eastAsia="zh-CN"/>
          <w14:textFill>
            <w14:solidFill>
              <w14:schemeClr w14:val="tx1"/>
            </w14:solidFill>
          </w14:textFill>
        </w:rPr>
        <w:t>6</w:t>
      </w:r>
      <w:r>
        <w:rPr>
          <w:rFonts w:hint="eastAsia" w:ascii="仿宋" w:hAnsi="仿宋" w:eastAsia="仿宋" w:cstheme="minorBidi"/>
          <w:color w:val="000000" w:themeColor="text1"/>
          <w:kern w:val="2"/>
          <w:sz w:val="32"/>
          <w:szCs w:val="32"/>
          <w14:textFill>
            <w14:solidFill>
              <w14:schemeClr w14:val="tx1"/>
            </w14:solidFill>
          </w14:textFill>
        </w:rPr>
        <w:t>人，具有省级名师工作室成员4人，具有省信息二类教学指导委员会成员1人。师资情况与上年度相比变化如图所示（表一）：</w:t>
      </w:r>
    </w:p>
    <w:tbl>
      <w:tblPr>
        <w:tblStyle w:val="7"/>
        <w:tblW w:w="8404" w:type="dxa"/>
        <w:jc w:val="center"/>
        <w:tblLayout w:type="fixed"/>
        <w:tblCellMar>
          <w:top w:w="0" w:type="dxa"/>
          <w:left w:w="108" w:type="dxa"/>
          <w:bottom w:w="0" w:type="dxa"/>
          <w:right w:w="108" w:type="dxa"/>
        </w:tblCellMar>
      </w:tblPr>
      <w:tblGrid>
        <w:gridCol w:w="2163"/>
        <w:gridCol w:w="1154"/>
        <w:gridCol w:w="1245"/>
        <w:gridCol w:w="1200"/>
        <w:gridCol w:w="1215"/>
        <w:gridCol w:w="1427"/>
      </w:tblGrid>
      <w:tr>
        <w:tblPrEx>
          <w:tblCellMar>
            <w:top w:w="0" w:type="dxa"/>
            <w:left w:w="108" w:type="dxa"/>
            <w:bottom w:w="0" w:type="dxa"/>
            <w:right w:w="108" w:type="dxa"/>
          </w:tblCellMar>
        </w:tblPrEx>
        <w:trPr>
          <w:trHeight w:val="510" w:hRule="atLeast"/>
          <w:jc w:val="center"/>
        </w:trPr>
        <w:tc>
          <w:tcPr>
            <w:tcW w:w="8404" w:type="dxa"/>
            <w:gridSpan w:val="6"/>
            <w:tcBorders>
              <w:top w:val="nil"/>
              <w:left w:val="nil"/>
              <w:bottom w:val="single" w:color="auto" w:sz="4" w:space="0"/>
              <w:right w:val="nil"/>
            </w:tcBorders>
            <w:shd w:val="clear" w:color="auto" w:fill="auto"/>
            <w:vAlign w:val="center"/>
          </w:tcPr>
          <w:p>
            <w:pPr>
              <w:widowControl/>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表一：</w:t>
            </w:r>
          </w:p>
          <w:p>
            <w:pPr>
              <w:widowControl/>
              <w:jc w:val="center"/>
              <w:rPr>
                <w:rFonts w:ascii="仿宋" w:hAnsi="仿宋" w:eastAsia="仿宋" w:cs="宋体"/>
                <w:b/>
                <w:color w:val="000000" w:themeColor="text1"/>
                <w:kern w:val="0"/>
                <w:sz w:val="32"/>
                <w:szCs w:val="32"/>
                <w14:textFill>
                  <w14:solidFill>
                    <w14:schemeClr w14:val="tx1"/>
                  </w14:solidFill>
                </w14:textFill>
              </w:rPr>
            </w:pPr>
          </w:p>
          <w:p>
            <w:pPr>
              <w:widowControl/>
              <w:jc w:val="center"/>
              <w:rPr>
                <w:rFonts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师资情况与上年度相比变化</w:t>
            </w:r>
          </w:p>
        </w:tc>
      </w:tr>
      <w:tr>
        <w:tblPrEx>
          <w:tblCellMar>
            <w:top w:w="0" w:type="dxa"/>
            <w:left w:w="108" w:type="dxa"/>
            <w:bottom w:w="0" w:type="dxa"/>
            <w:right w:w="108" w:type="dxa"/>
          </w:tblCellMar>
        </w:tblPrEx>
        <w:trPr>
          <w:trHeight w:val="79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项目</w:t>
            </w:r>
          </w:p>
        </w:tc>
        <w:tc>
          <w:tcPr>
            <w:tcW w:w="115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themeColor="text1"/>
                <w:kern w:val="0"/>
                <w:sz w:val="28"/>
                <w:szCs w:val="28"/>
                <w:lang w:val="en-US" w:eastAsia="zh-CN" w:bidi="ar-SA"/>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2017年</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themeColor="text1"/>
                <w:kern w:val="0"/>
                <w:sz w:val="28"/>
                <w:szCs w:val="28"/>
                <w:lang w:val="en-US" w:eastAsia="zh-CN" w:bidi="ar-SA"/>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2018年</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themeColor="text1"/>
                <w:kern w:val="0"/>
                <w:sz w:val="28"/>
                <w:szCs w:val="28"/>
                <w:lang w:val="en-US" w:eastAsia="zh-CN" w:bidi="ar-SA"/>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2019年</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themeColor="text1"/>
                <w:kern w:val="0"/>
                <w:sz w:val="28"/>
                <w:szCs w:val="28"/>
                <w:lang w:val="en-US" w:eastAsia="zh-CN" w:bidi="ar-SA"/>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增长数</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themeColor="text1"/>
                <w:kern w:val="0"/>
                <w:sz w:val="28"/>
                <w:szCs w:val="28"/>
                <w:lang w:val="en-US" w:eastAsia="zh-CN" w:bidi="ar-SA"/>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增长率</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专人教师人数</w:t>
            </w:r>
          </w:p>
        </w:tc>
        <w:tc>
          <w:tcPr>
            <w:tcW w:w="115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44</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48</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9</w:t>
            </w:r>
            <w:r>
              <w:rPr>
                <w:rFonts w:hint="eastAsia" w:ascii="仿宋" w:hAnsi="仿宋" w:eastAsia="仿宋" w:cs="宋体"/>
                <w:color w:val="000000" w:themeColor="text1"/>
                <w:kern w:val="0"/>
                <w:sz w:val="28"/>
                <w:szCs w:val="28"/>
                <w14:textFill>
                  <w14:solidFill>
                    <w14:schemeClr w14:val="tx1"/>
                  </w14:solidFill>
                </w14:textFill>
              </w:rPr>
              <w:t>2</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44</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91.67</w:t>
            </w:r>
            <w:r>
              <w:rPr>
                <w:rFonts w:hint="eastAsia" w:ascii="仿宋" w:hAnsi="仿宋" w:eastAsia="仿宋" w:cs="宋体"/>
                <w:color w:val="000000" w:themeColor="text1"/>
                <w:kern w:val="0"/>
                <w:sz w:val="28"/>
                <w:szCs w:val="28"/>
                <w14:textFill>
                  <w14:solidFill>
                    <w14:schemeClr w14:val="tx1"/>
                  </w14:solidFill>
                </w14:textFill>
              </w:rPr>
              <w:t>%</w:t>
            </w:r>
          </w:p>
        </w:tc>
      </w:tr>
      <w:tr>
        <w:tblPrEx>
          <w:tblCellMar>
            <w:top w:w="0" w:type="dxa"/>
            <w:left w:w="108" w:type="dxa"/>
            <w:bottom w:w="0" w:type="dxa"/>
            <w:right w:w="108" w:type="dxa"/>
          </w:tblCellMar>
        </w:tblPrEx>
        <w:trPr>
          <w:trHeight w:val="579"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生师比</w:t>
            </w:r>
          </w:p>
        </w:tc>
        <w:tc>
          <w:tcPr>
            <w:tcW w:w="115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25.5：1</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27.1：1</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14:textFill>
                  <w14:solidFill>
                    <w14:schemeClr w14:val="tx1"/>
                  </w14:solidFill>
                </w14:textFill>
              </w:rPr>
              <w:t>3</w:t>
            </w:r>
            <w:r>
              <w:rPr>
                <w:rFonts w:hint="eastAsia" w:ascii="仿宋" w:hAnsi="仿宋" w:eastAsia="仿宋" w:cstheme="minorBidi"/>
                <w:color w:val="000000" w:themeColor="text1"/>
                <w:kern w:val="2"/>
                <w:sz w:val="28"/>
                <w:szCs w:val="28"/>
                <w:lang w:val="en-US" w:eastAsia="zh-CN"/>
                <w14:textFill>
                  <w14:solidFill>
                    <w14:schemeClr w14:val="tx1"/>
                  </w14:solidFill>
                </w14:textFill>
              </w:rPr>
              <w:t>5</w:t>
            </w:r>
            <w:r>
              <w:rPr>
                <w:rFonts w:hint="eastAsia" w:ascii="仿宋" w:hAnsi="仿宋" w:eastAsia="仿宋" w:cstheme="minorBidi"/>
                <w:color w:val="000000" w:themeColor="text1"/>
                <w:kern w:val="2"/>
                <w:sz w:val="28"/>
                <w:szCs w:val="28"/>
                <w14:textFill>
                  <w14:solidFill>
                    <w14:schemeClr w14:val="tx1"/>
                  </w14:solidFill>
                </w14:textFill>
              </w:rPr>
              <w:t>.</w:t>
            </w:r>
            <w:r>
              <w:rPr>
                <w:rFonts w:hint="eastAsia" w:ascii="仿宋" w:hAnsi="仿宋" w:eastAsia="仿宋" w:cstheme="minorBidi"/>
                <w:color w:val="000000" w:themeColor="text1"/>
                <w:kern w:val="2"/>
                <w:sz w:val="28"/>
                <w:szCs w:val="28"/>
                <w:lang w:val="en-US" w:eastAsia="zh-CN"/>
                <w14:textFill>
                  <w14:solidFill>
                    <w14:schemeClr w14:val="tx1"/>
                  </w14:solidFill>
                </w14:textFill>
              </w:rPr>
              <w:t>04</w:t>
            </w:r>
            <w:r>
              <w:rPr>
                <w:rFonts w:hint="eastAsia" w:ascii="仿宋" w:hAnsi="仿宋" w:eastAsia="仿宋" w:cstheme="minorBidi"/>
                <w:color w:val="000000" w:themeColor="text1"/>
                <w:kern w:val="2"/>
                <w:sz w:val="28"/>
                <w:szCs w:val="28"/>
                <w14:textFill>
                  <w14:solidFill>
                    <w14:schemeClr w14:val="tx1"/>
                  </w14:solidFill>
                </w14:textFill>
              </w:rPr>
              <w:t>:1</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7.94:1</w:t>
            </w:r>
            <w:r>
              <w:rPr>
                <w:rFonts w:hint="eastAsia" w:ascii="仿宋" w:hAnsi="仿宋" w:eastAsia="仿宋" w:cs="宋体"/>
                <w:color w:val="000000" w:themeColor="text1"/>
                <w:kern w:val="0"/>
                <w:sz w:val="28"/>
                <w:szCs w:val="28"/>
                <w14:textFill>
                  <w14:solidFill>
                    <w14:schemeClr w14:val="tx1"/>
                  </w14:solidFill>
                </w14:textFill>
              </w:rPr>
              <w:t>　</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59</w:t>
            </w:r>
            <w:r>
              <w:rPr>
                <w:rFonts w:hint="eastAsia"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84</w:t>
            </w:r>
            <w:r>
              <w:rPr>
                <w:rFonts w:hint="eastAsia"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:1</w:t>
            </w:r>
          </w:p>
        </w:tc>
      </w:tr>
      <w:tr>
        <w:tblPrEx>
          <w:tblCellMar>
            <w:top w:w="0" w:type="dxa"/>
            <w:left w:w="108" w:type="dxa"/>
            <w:bottom w:w="0" w:type="dxa"/>
            <w:right w:w="108" w:type="dxa"/>
          </w:tblCellMar>
        </w:tblPrEx>
        <w:trPr>
          <w:trHeight w:val="623" w:hRule="exac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本科学历人数</w:t>
            </w:r>
          </w:p>
        </w:tc>
        <w:tc>
          <w:tcPr>
            <w:tcW w:w="115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30</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37</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52</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15</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40.54</w:t>
            </w:r>
            <w:r>
              <w:rPr>
                <w:rFonts w:hint="eastAsia" w:ascii="仿宋" w:hAnsi="仿宋" w:eastAsia="仿宋" w:cs="宋体"/>
                <w:color w:val="000000" w:themeColor="text1"/>
                <w:kern w:val="0"/>
                <w:sz w:val="28"/>
                <w:szCs w:val="28"/>
                <w14:textFill>
                  <w14:solidFill>
                    <w14:schemeClr w14:val="tx1"/>
                  </w14:solidFill>
                </w14:textFill>
              </w:rPr>
              <w:t>%</w:t>
            </w:r>
          </w:p>
          <w:p>
            <w:pPr>
              <w:widowControl/>
              <w:jc w:val="center"/>
              <w:rPr>
                <w:rFonts w:hint="eastAsia" w:ascii="仿宋" w:hAnsi="仿宋" w:eastAsia="仿宋" w:cs="宋体"/>
                <w:color w:val="000000" w:themeColor="text1"/>
                <w:kern w:val="0"/>
                <w:sz w:val="28"/>
                <w:szCs w:val="28"/>
                <w:lang w:val="en-US" w:eastAsia="zh-CN" w:bidi="ar-SA"/>
                <w14:textFill>
                  <w14:solidFill>
                    <w14:schemeClr w14:val="tx1"/>
                  </w14:solidFill>
                </w14:textFill>
              </w:rPr>
            </w:pPr>
          </w:p>
        </w:tc>
      </w:tr>
      <w:tr>
        <w:tblPrEx>
          <w:tblCellMar>
            <w:top w:w="0" w:type="dxa"/>
            <w:left w:w="108" w:type="dxa"/>
            <w:bottom w:w="0" w:type="dxa"/>
            <w:right w:w="108" w:type="dxa"/>
          </w:tblCellMar>
        </w:tblPrEx>
        <w:trPr>
          <w:trHeight w:val="67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专科学历人数</w:t>
            </w:r>
          </w:p>
        </w:tc>
        <w:tc>
          <w:tcPr>
            <w:tcW w:w="115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39</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39</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53</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1</w:t>
            </w:r>
            <w:r>
              <w:rPr>
                <w:rFonts w:hint="eastAsia" w:ascii="仿宋" w:hAnsi="仿宋" w:eastAsia="仿宋" w:cs="宋体"/>
                <w:color w:val="000000" w:themeColor="text1"/>
                <w:kern w:val="0"/>
                <w:sz w:val="28"/>
                <w:szCs w:val="28"/>
                <w14:textFill>
                  <w14:solidFill>
                    <w14:schemeClr w14:val="tx1"/>
                  </w14:solidFill>
                </w14:textFill>
              </w:rPr>
              <w:t>4</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35.90</w:t>
            </w:r>
            <w:r>
              <w:rPr>
                <w:rFonts w:hint="eastAsia" w:ascii="仿宋" w:hAnsi="仿宋" w:eastAsia="仿宋" w:cs="宋体"/>
                <w:color w:val="000000" w:themeColor="text1"/>
                <w:kern w:val="0"/>
                <w:sz w:val="28"/>
                <w:szCs w:val="28"/>
                <w14:textFill>
                  <w14:solidFill>
                    <w14:schemeClr w14:val="tx1"/>
                  </w14:solidFill>
                </w14:textFill>
              </w:rPr>
              <w:t>%</w:t>
            </w:r>
          </w:p>
        </w:tc>
      </w:tr>
      <w:tr>
        <w:tblPrEx>
          <w:tblCellMar>
            <w:top w:w="0" w:type="dxa"/>
            <w:left w:w="108" w:type="dxa"/>
            <w:bottom w:w="0" w:type="dxa"/>
            <w:right w:w="108" w:type="dxa"/>
          </w:tblCellMar>
        </w:tblPrEx>
        <w:trPr>
          <w:trHeight w:val="579"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兼职教师人数</w:t>
            </w:r>
          </w:p>
        </w:tc>
        <w:tc>
          <w:tcPr>
            <w:tcW w:w="115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20</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21</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w:t>
            </w:r>
            <w:r>
              <w:rPr>
                <w:rFonts w:hint="eastAsia" w:ascii="仿宋" w:hAnsi="仿宋" w:eastAsia="仿宋" w:cs="宋体"/>
                <w:color w:val="000000" w:themeColor="text1"/>
                <w:kern w:val="0"/>
                <w:sz w:val="28"/>
                <w:szCs w:val="28"/>
                <w:lang w:val="en-US" w:eastAsia="zh-CN"/>
                <w14:textFill>
                  <w14:solidFill>
                    <w14:schemeClr w14:val="tx1"/>
                  </w14:solidFill>
                </w14:textFill>
              </w:rPr>
              <w:t>6</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5</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23.81</w:t>
            </w:r>
            <w:r>
              <w:rPr>
                <w:rFonts w:hint="eastAsia" w:ascii="仿宋" w:hAnsi="仿宋" w:eastAsia="仿宋" w:cs="宋体"/>
                <w:color w:val="000000" w:themeColor="text1"/>
                <w:kern w:val="0"/>
                <w:sz w:val="28"/>
                <w:szCs w:val="28"/>
                <w14:textFill>
                  <w14:solidFill>
                    <w14:schemeClr w14:val="tx1"/>
                  </w14:solidFill>
                </w14:textFill>
              </w:rPr>
              <w:t>%</w:t>
            </w:r>
          </w:p>
        </w:tc>
      </w:tr>
      <w:tr>
        <w:tblPrEx>
          <w:tblCellMar>
            <w:top w:w="0" w:type="dxa"/>
            <w:left w:w="108" w:type="dxa"/>
            <w:bottom w:w="0" w:type="dxa"/>
            <w:right w:w="108" w:type="dxa"/>
          </w:tblCellMar>
        </w:tblPrEx>
        <w:trPr>
          <w:trHeight w:val="660"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外聘教师人数</w:t>
            </w:r>
          </w:p>
        </w:tc>
        <w:tc>
          <w:tcPr>
            <w:tcW w:w="115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5</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7</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5</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28</w:t>
            </w:r>
            <w:r>
              <w:rPr>
                <w:rFonts w:hint="eastAsia"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57</w:t>
            </w:r>
            <w:r>
              <w:rPr>
                <w:rFonts w:hint="eastAsia" w:ascii="仿宋" w:hAnsi="仿宋" w:eastAsia="仿宋" w:cs="宋体"/>
                <w:color w:val="000000" w:themeColor="text1"/>
                <w:kern w:val="0"/>
                <w:sz w:val="28"/>
                <w:szCs w:val="28"/>
                <w14:textFill>
                  <w14:solidFill>
                    <w14:schemeClr w14:val="tx1"/>
                  </w14:solidFill>
                </w14:textFill>
              </w:rPr>
              <w:t>%</w:t>
            </w:r>
          </w:p>
        </w:tc>
      </w:tr>
      <w:tr>
        <w:tblPrEx>
          <w:tblCellMar>
            <w:top w:w="0" w:type="dxa"/>
            <w:left w:w="108" w:type="dxa"/>
            <w:bottom w:w="0" w:type="dxa"/>
            <w:right w:w="108" w:type="dxa"/>
          </w:tblCellMar>
        </w:tblPrEx>
        <w:trPr>
          <w:trHeight w:val="600"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实训教师人数</w:t>
            </w:r>
          </w:p>
        </w:tc>
        <w:tc>
          <w:tcPr>
            <w:tcW w:w="115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10</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9</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12</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3</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3</w:t>
            </w:r>
            <w:r>
              <w:rPr>
                <w:rFonts w:hint="eastAsia" w:ascii="仿宋" w:hAnsi="仿宋" w:eastAsia="仿宋" w:cs="宋体"/>
                <w:color w:val="000000" w:themeColor="text1"/>
                <w:kern w:val="0"/>
                <w:sz w:val="28"/>
                <w:szCs w:val="28"/>
                <w:lang w:val="en-US" w:eastAsia="zh-CN"/>
                <w14:textFill>
                  <w14:solidFill>
                    <w14:schemeClr w14:val="tx1"/>
                  </w14:solidFill>
                </w14:textFill>
              </w:rPr>
              <w:t>3</w:t>
            </w:r>
            <w:r>
              <w:rPr>
                <w:rFonts w:hint="eastAsia"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33</w:t>
            </w:r>
            <w:r>
              <w:rPr>
                <w:rFonts w:hint="eastAsia" w:ascii="仿宋" w:hAnsi="仿宋" w:eastAsia="仿宋" w:cs="宋体"/>
                <w:color w:val="000000" w:themeColor="text1"/>
                <w:kern w:val="0"/>
                <w:sz w:val="28"/>
                <w:szCs w:val="28"/>
                <w14:textFill>
                  <w14:solidFill>
                    <w14:schemeClr w14:val="tx1"/>
                  </w14:solidFill>
                </w14:textFill>
              </w:rPr>
              <w:t>%</w:t>
            </w:r>
          </w:p>
        </w:tc>
      </w:tr>
      <w:tr>
        <w:tblPrEx>
          <w:tblCellMar>
            <w:top w:w="0" w:type="dxa"/>
            <w:left w:w="108" w:type="dxa"/>
            <w:bottom w:w="0" w:type="dxa"/>
            <w:right w:w="108" w:type="dxa"/>
          </w:tblCellMar>
        </w:tblPrEx>
        <w:trPr>
          <w:trHeight w:val="64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高级职称人数</w:t>
            </w:r>
          </w:p>
        </w:tc>
        <w:tc>
          <w:tcPr>
            <w:tcW w:w="115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9</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9</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9</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0</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0.</w:t>
            </w:r>
            <w:r>
              <w:rPr>
                <w:rFonts w:hint="eastAsia" w:ascii="仿宋" w:hAnsi="仿宋" w:eastAsia="仿宋" w:cs="宋体"/>
                <w:color w:val="000000" w:themeColor="text1"/>
                <w:kern w:val="0"/>
                <w:sz w:val="28"/>
                <w:szCs w:val="28"/>
                <w14:textFill>
                  <w14:solidFill>
                    <w14:schemeClr w14:val="tx1"/>
                  </w14:solidFill>
                </w14:textFill>
              </w:rPr>
              <w:t>00%</w:t>
            </w:r>
          </w:p>
        </w:tc>
      </w:tr>
      <w:tr>
        <w:tblPrEx>
          <w:tblCellMar>
            <w:top w:w="0" w:type="dxa"/>
            <w:left w:w="108" w:type="dxa"/>
            <w:bottom w:w="0" w:type="dxa"/>
            <w:right w:w="108" w:type="dxa"/>
          </w:tblCellMar>
        </w:tblPrEx>
        <w:trPr>
          <w:trHeight w:val="67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中级职称人数</w:t>
            </w:r>
          </w:p>
        </w:tc>
        <w:tc>
          <w:tcPr>
            <w:tcW w:w="115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13</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13</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w:t>
            </w:r>
            <w:r>
              <w:rPr>
                <w:rFonts w:hint="eastAsia" w:ascii="仿宋" w:hAnsi="仿宋" w:eastAsia="仿宋" w:cs="宋体"/>
                <w:color w:val="000000" w:themeColor="text1"/>
                <w:kern w:val="0"/>
                <w:sz w:val="28"/>
                <w:szCs w:val="28"/>
                <w:lang w:val="en-US" w:eastAsia="zh-CN"/>
                <w14:textFill>
                  <w14:solidFill>
                    <w14:schemeClr w14:val="tx1"/>
                  </w14:solidFill>
                </w14:textFill>
              </w:rPr>
              <w:t>6</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3</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23.08</w:t>
            </w:r>
            <w:r>
              <w:rPr>
                <w:rFonts w:hint="eastAsia" w:ascii="仿宋" w:hAnsi="仿宋" w:eastAsia="仿宋" w:cs="宋体"/>
                <w:color w:val="000000" w:themeColor="text1"/>
                <w:kern w:val="0"/>
                <w:sz w:val="28"/>
                <w:szCs w:val="28"/>
                <w14:textFill>
                  <w14:solidFill>
                    <w14:schemeClr w14:val="tx1"/>
                  </w14:solidFill>
                </w14:textFill>
              </w:rPr>
              <w:t>.%</w:t>
            </w:r>
          </w:p>
        </w:tc>
      </w:tr>
      <w:tr>
        <w:tblPrEx>
          <w:tblCellMar>
            <w:top w:w="0" w:type="dxa"/>
            <w:left w:w="108" w:type="dxa"/>
            <w:bottom w:w="0" w:type="dxa"/>
            <w:right w:w="108" w:type="dxa"/>
          </w:tblCellMar>
        </w:tblPrEx>
        <w:trPr>
          <w:trHeight w:val="660"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初级职称人数</w:t>
            </w:r>
          </w:p>
        </w:tc>
        <w:tc>
          <w:tcPr>
            <w:tcW w:w="115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3</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3</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7</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4</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100.00</w:t>
            </w:r>
            <w:r>
              <w:rPr>
                <w:rFonts w:hint="eastAsia" w:ascii="仿宋" w:hAnsi="仿宋" w:eastAsia="仿宋" w:cs="宋体"/>
                <w:color w:val="000000" w:themeColor="text1"/>
                <w:kern w:val="0"/>
                <w:sz w:val="28"/>
                <w:szCs w:val="28"/>
                <w14:textFill>
                  <w14:solidFill>
                    <w14:schemeClr w14:val="tx1"/>
                  </w14:solidFill>
                </w14:textFill>
              </w:rPr>
              <w:t>%</w:t>
            </w:r>
          </w:p>
        </w:tc>
      </w:tr>
      <w:tr>
        <w:tblPrEx>
          <w:tblCellMar>
            <w:top w:w="0" w:type="dxa"/>
            <w:left w:w="108" w:type="dxa"/>
            <w:bottom w:w="0" w:type="dxa"/>
            <w:right w:w="108" w:type="dxa"/>
          </w:tblCellMar>
        </w:tblPrEx>
        <w:trPr>
          <w:trHeight w:val="65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双师型人数</w:t>
            </w:r>
          </w:p>
        </w:tc>
        <w:tc>
          <w:tcPr>
            <w:tcW w:w="115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12</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12</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12</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0</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0.00%</w:t>
            </w:r>
          </w:p>
        </w:tc>
      </w:tr>
    </w:tbl>
    <w:p>
      <w:pP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shd w:val="clear" w:color="auto" w:fill="FFFFFF"/>
          <w14:textFill>
            <w14:solidFill>
              <w14:schemeClr w14:val="tx1"/>
            </w14:solidFill>
          </w14:textFill>
        </w:rPr>
        <w:t>1.4</w:t>
      </w:r>
      <w:r>
        <w:rPr>
          <w:rFonts w:hint="eastAsia" w:ascii="仿宋" w:hAnsi="仿宋" w:eastAsia="仿宋" w:cs="仿宋"/>
          <w:b/>
          <w:bCs/>
          <w:color w:val="000000" w:themeColor="text1"/>
          <w:sz w:val="32"/>
          <w:szCs w:val="32"/>
          <w14:textFill>
            <w14:solidFill>
              <w14:schemeClr w14:val="tx1"/>
            </w14:solidFill>
          </w14:textFill>
        </w:rPr>
        <w:t>设施设备</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校建设有躬行楼、知行楼分别为1、2、3层为实训场地，建筑面积6120平方米，满足学校实训实验需求，2018年度校内实训设备1313.9万元，各类专业在籍人数2063人，生均6368.9元。2019年在籍人数3139人，新增无人机、机器人、新能源专业实训场地面积320平方米，新增设备价值270万元，新增实训工位数100个。2019年实训场地面积6440平方米，实训设备1583.9万元，生均5045.9元，较上一年度生均减少1323元，</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学校2018年度实训工位数1022个，生均工位数0.50个，2019年实训工位数1122个，生均工位数0.36个，2019年较上一年度生均工位数减少0.14个。</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学校2019年度实训场地面积6120平方米，生均面积3.0平方米，2019年实训场地面积6440平方米，生均面积2.1平方米，2019年较上一年度生均减少0.9平方米。</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学校2019年度纸质图书73077册，生均11册，较上一年度生均增加12册。</w:t>
      </w:r>
    </w:p>
    <w:p>
      <w:pPr>
        <w:ind w:firstLine="640" w:firstLineChars="200"/>
        <w:rPr>
          <w:rFonts w:hint="eastAsia" w:ascii="仿宋" w:hAnsi="仿宋" w:eastAsia="仿宋" w:cs="仿宋"/>
          <w:color w:val="000000" w:themeColor="text1"/>
          <w:sz w:val="32"/>
          <w:szCs w:val="32"/>
          <w14:textFill>
            <w14:solidFill>
              <w14:schemeClr w14:val="tx1"/>
            </w14:solidFill>
          </w14:textFill>
        </w:rPr>
      </w:pPr>
    </w:p>
    <w:p>
      <w:r>
        <w:rPr>
          <w:color w:val="FFFFFF" w:themeColor="background1"/>
          <w14:textFill>
            <w14:solidFill>
              <w14:schemeClr w14:val="bg1"/>
            </w14:solidFill>
          </w14:textFill>
        </w:rPr>
        <w:drawing>
          <wp:anchor distT="0" distB="0" distL="114300" distR="114300" simplePos="0" relativeHeight="251660288" behindDoc="0" locked="0" layoutInCell="1" allowOverlap="1">
            <wp:simplePos x="0" y="0"/>
            <wp:positionH relativeFrom="column">
              <wp:posOffset>66675</wp:posOffset>
            </wp:positionH>
            <wp:positionV relativeFrom="paragraph">
              <wp:posOffset>136525</wp:posOffset>
            </wp:positionV>
            <wp:extent cx="5534025" cy="3057525"/>
            <wp:effectExtent l="4445" t="4445" r="5080" b="508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
    <w:p/>
    <w:p/>
    <w:p/>
    <w:p/>
    <w:p/>
    <w:p/>
    <w:p/>
    <w:p/>
    <w:p/>
    <w:p/>
    <w:p/>
    <w:p/>
    <w:p>
      <w:r>
        <w:rPr>
          <w:rFonts w:hint="eastAsia"/>
        </w:rPr>
        <w:drawing>
          <wp:anchor distT="0" distB="0" distL="114300" distR="114300" simplePos="0" relativeHeight="251661312" behindDoc="0" locked="0" layoutInCell="1" allowOverlap="1">
            <wp:simplePos x="0" y="0"/>
            <wp:positionH relativeFrom="column">
              <wp:posOffset>-635</wp:posOffset>
            </wp:positionH>
            <wp:positionV relativeFrom="paragraph">
              <wp:posOffset>129540</wp:posOffset>
            </wp:positionV>
            <wp:extent cx="5534025" cy="3190875"/>
            <wp:effectExtent l="4445" t="4445" r="5080" b="508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
    <w:p/>
    <w:p/>
    <w:p/>
    <w:p/>
    <w:p/>
    <w:p/>
    <w:p>
      <w:r>
        <w:rPr>
          <w:rFonts w:hint="eastAsia"/>
        </w:rPr>
        <w:drawing>
          <wp:inline distT="0" distB="0" distL="0" distR="0">
            <wp:extent cx="5502275" cy="3076575"/>
            <wp:effectExtent l="5080" t="4445" r="17145"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
      <w:pPr>
        <w:jc w:val="left"/>
        <w:rPr>
          <w:rFonts w:ascii="仿宋" w:hAnsi="仿宋" w:eastAsia="仿宋" w:cs="仿宋_GB2312"/>
          <w:bCs/>
          <w:sz w:val="32"/>
          <w:szCs w:val="32"/>
        </w:rPr>
      </w:pPr>
      <w:r>
        <w:rPr>
          <w:rFonts w:hint="eastAsia"/>
        </w:rPr>
        <w:drawing>
          <wp:inline distT="0" distB="0" distL="0" distR="0">
            <wp:extent cx="5274310" cy="3076575"/>
            <wp:effectExtent l="5080" t="4445" r="16510" b="50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rPr>
          <w:rFonts w:ascii="仿宋" w:hAnsi="仿宋" w:eastAsia="仿宋" w:cs="仿宋_GB2312"/>
          <w:b/>
          <w:bCs/>
          <w:sz w:val="36"/>
          <w:szCs w:val="36"/>
        </w:rPr>
      </w:pPr>
    </w:p>
    <w:p>
      <w:pPr>
        <w:rPr>
          <w:rFonts w:ascii="仿宋" w:hAnsi="仿宋" w:eastAsia="仿宋" w:cs="仿宋_GB2312"/>
          <w:b/>
          <w:bCs/>
          <w:color w:val="000000" w:themeColor="text1"/>
          <w:sz w:val="36"/>
          <w:szCs w:val="36"/>
          <w14:textFill>
            <w14:solidFill>
              <w14:schemeClr w14:val="tx1"/>
            </w14:solidFill>
          </w14:textFill>
        </w:rPr>
      </w:pPr>
      <w:r>
        <w:rPr>
          <w:rFonts w:hint="eastAsia" w:ascii="仿宋" w:hAnsi="仿宋" w:eastAsia="仿宋" w:cs="仿宋_GB2312"/>
          <w:b/>
          <w:bCs/>
          <w:color w:val="000000" w:themeColor="text1"/>
          <w:sz w:val="36"/>
          <w:szCs w:val="36"/>
          <w14:textFill>
            <w14:solidFill>
              <w14:schemeClr w14:val="tx1"/>
            </w14:solidFill>
          </w14:textFill>
        </w:rPr>
        <w:t>二、学生发展</w:t>
      </w:r>
    </w:p>
    <w:p>
      <w:pPr>
        <w:ind w:firstLine="643" w:firstLineChars="200"/>
        <w:rPr>
          <w:rFonts w:ascii="仿宋" w:hAnsi="仿宋" w:eastAsia="仿宋" w:cs="仿宋_GB2312"/>
          <w:b/>
          <w:bCs/>
          <w:color w:val="000000" w:themeColor="text1"/>
          <w:sz w:val="36"/>
          <w:szCs w:val="36"/>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2.1学生素质</w:t>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我校秉承立德树人、德技兼修的原则</w:t>
      </w:r>
      <w:r>
        <w:rPr>
          <w:rFonts w:ascii="仿宋" w:hAnsi="仿宋" w:eastAsia="仿宋" w:cstheme="minorBidi"/>
          <w:color w:val="000000" w:themeColor="text1"/>
          <w:kern w:val="2"/>
          <w:sz w:val="32"/>
          <w:szCs w:val="32"/>
          <w14:textFill>
            <w14:solidFill>
              <w14:schemeClr w14:val="tx1"/>
            </w14:solidFill>
          </w14:textFill>
        </w:rPr>
        <w:t>，</w:t>
      </w:r>
      <w:r>
        <w:rPr>
          <w:rFonts w:hint="eastAsia" w:ascii="仿宋" w:hAnsi="仿宋" w:eastAsia="仿宋" w:cstheme="minorBidi"/>
          <w:color w:val="000000" w:themeColor="text1"/>
          <w:kern w:val="2"/>
          <w:sz w:val="32"/>
          <w:szCs w:val="32"/>
          <w14:textFill>
            <w14:solidFill>
              <w14:schemeClr w14:val="tx1"/>
            </w14:solidFill>
          </w14:textFill>
        </w:rPr>
        <w:t>优化育人措施，培养德技兼修人才。首先，在</w:t>
      </w:r>
      <w:r>
        <w:rPr>
          <w:rFonts w:ascii="仿宋" w:hAnsi="仿宋" w:eastAsia="仿宋" w:cstheme="minorBidi"/>
          <w:color w:val="000000" w:themeColor="text1"/>
          <w:kern w:val="2"/>
          <w:sz w:val="32"/>
          <w:szCs w:val="32"/>
          <w14:textFill>
            <w14:solidFill>
              <w14:schemeClr w14:val="tx1"/>
            </w14:solidFill>
          </w14:textFill>
        </w:rPr>
        <w:t>课程设置上</w:t>
      </w:r>
      <w:r>
        <w:rPr>
          <w:rFonts w:hint="eastAsia" w:ascii="仿宋" w:hAnsi="仿宋" w:eastAsia="仿宋" w:cstheme="minorBidi"/>
          <w:color w:val="000000" w:themeColor="text1"/>
          <w:kern w:val="2"/>
          <w:sz w:val="32"/>
          <w:szCs w:val="32"/>
          <w14:textFill>
            <w14:solidFill>
              <w14:schemeClr w14:val="tx1"/>
            </w14:solidFill>
          </w14:textFill>
        </w:rPr>
        <w:t>，</w:t>
      </w:r>
      <w:r>
        <w:rPr>
          <w:rFonts w:ascii="仿宋" w:hAnsi="仿宋" w:eastAsia="仿宋" w:cstheme="minorBidi"/>
          <w:color w:val="000000" w:themeColor="text1"/>
          <w:kern w:val="2"/>
          <w:sz w:val="32"/>
          <w:szCs w:val="32"/>
          <w14:textFill>
            <w14:solidFill>
              <w14:schemeClr w14:val="tx1"/>
            </w14:solidFill>
          </w14:textFill>
        </w:rPr>
        <w:t>公共基础课程和专业技能课程</w:t>
      </w:r>
      <w:r>
        <w:rPr>
          <w:rFonts w:hint="eastAsia" w:ascii="仿宋" w:hAnsi="仿宋" w:eastAsia="仿宋" w:cstheme="minorBidi"/>
          <w:color w:val="000000" w:themeColor="text1"/>
          <w:kern w:val="2"/>
          <w:sz w:val="32"/>
          <w:szCs w:val="32"/>
          <w14:textFill>
            <w14:solidFill>
              <w14:schemeClr w14:val="tx1"/>
            </w14:solidFill>
          </w14:textFill>
        </w:rPr>
        <w:t>科学开设、学时分配合理，加强了对学生思想素质的提高和专业技术技能的提升。2019年，文化课合格率93%，体质测评合格率98%，专业技能合格率84%，职业资格证考证率83%，一次性毕业率94%（与上一年度相比变化情况如图7）。在教学中，突出了以诚信、敬业为重点的职业道德教育，强化了思想政治教育，重视了心理健康教育和情商教育，发挥了学校教育、家庭教育和社会教育的合力，把学生培养成了具有良好的思想道德品质、拥有熟练的职业技能、善于创新创业的高素质劳动者。其次，在学生管理工作中，强化学生良好品德行为习惯的养成，探索学生良好心理素质形成的规律与方法；注重加强学生日常行为规范、文明礼貌和养成教育；深入开展诚信、感恩、挫折教育，提升学生自我完善的内驱力；以公民道德和普法教育为重点，加强对学生的法制、交通安全、消防知识、反校园欺凌专项整治等教育；以组织活动为载体，增强学生的凝聚力，丰富学生的精神文化生活，培养学生良好的行为品质，促进学生健康、全面发展。</w:t>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图7：</w:t>
      </w:r>
    </w:p>
    <w:p>
      <w:pPr>
        <w:pStyle w:val="6"/>
        <w:spacing w:before="0" w:beforeAutospacing="0" w:after="0" w:afterAutospacing="0" w:line="360" w:lineRule="auto"/>
        <w:jc w:val="both"/>
        <w:rPr>
          <w:rFonts w:ascii="仿宋" w:hAnsi="仿宋" w:eastAsia="仿宋" w:cstheme="minorBidi"/>
          <w:color w:val="000000" w:themeColor="text1"/>
          <w:kern w:val="2"/>
          <w:sz w:val="32"/>
          <w:szCs w:val="32"/>
          <w14:textFill>
            <w14:solidFill>
              <w14:schemeClr w14:val="tx1"/>
            </w14:solidFill>
          </w14:textFill>
        </w:rPr>
      </w:pPr>
      <w:r>
        <w:drawing>
          <wp:inline distT="0" distB="0" distL="114300" distR="114300">
            <wp:extent cx="5214620" cy="2980690"/>
            <wp:effectExtent l="5080" t="4445" r="19050" b="571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3" w:firstLineChars="200"/>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2.2在校体验</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建设和谐幸福校园是我校的重点工作，学校通过问卷调查的形式进行了各项满意度调查，通过随机抽取数据分析，全校学生理论学习满意度99%，专业学习满意度96%，校内实习满意度96%，校外实习满意度96.2%，校园文化社团活动满意度96%，生活满意度98.1%，安全满意度98.7%，毕业生满意度94.3%（图8）。</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图8</w:t>
      </w:r>
    </w:p>
    <w:p>
      <w:pPr>
        <w:rPr>
          <w:rFonts w:ascii="仿宋" w:hAnsi="仿宋" w:eastAsia="仿宋" w:cs="仿宋_GB2312"/>
          <w:sz w:val="32"/>
          <w:szCs w:val="32"/>
        </w:rPr>
      </w:pPr>
      <w:r>
        <w:drawing>
          <wp:inline distT="0" distB="0" distL="114300" distR="114300">
            <wp:extent cx="5248275" cy="2781300"/>
            <wp:effectExtent l="4445" t="4445" r="5080" b="14605"/>
            <wp:docPr id="1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3" w:firstLineChars="200"/>
        <w:rPr>
          <w:rFonts w:ascii="仿宋" w:hAnsi="仿宋" w:eastAsia="仿宋" w:cs="仿宋_GB2312"/>
          <w:b/>
          <w:sz w:val="32"/>
          <w:szCs w:val="32"/>
        </w:rPr>
      </w:pPr>
      <w:r>
        <w:rPr>
          <w:rFonts w:hint="eastAsia" w:ascii="仿宋" w:hAnsi="仿宋" w:eastAsia="仿宋" w:cs="仿宋_GB2312"/>
          <w:b/>
          <w:sz w:val="32"/>
          <w:szCs w:val="32"/>
        </w:rPr>
        <w:t>2.3资助情况</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校在市、区教育主管部门领导下，在资助评审过程中，本着公开、公平、公正的原则，资助范围、资助对象、资助标准符合政策要求不存在暗箱操作、人为调节分配或平均分配、不讲人情，对评审结果进行有效公示。</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2019年春季2016级免学费人数438人，2017级448人,2018级1021人，合计1907人，共计金额181.165万元；享受助学金人数518人，合计金额51.8万元。</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2019年秋季2017级免学费人数448人，2018级944人，2019级1626人，合计3018人，共计金额286.71万元；享受助学金人数1248人，合计金额124.8万元。学生助学金均已打卡发放到每一位学生手里。</w:t>
      </w:r>
    </w:p>
    <w:p>
      <w:pPr>
        <w:ind w:firstLine="643" w:firstLineChars="200"/>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2.4就业质量</w:t>
      </w:r>
    </w:p>
    <w:p>
      <w:pPr>
        <w:ind w:firstLine="660" w:firstLineChars="200"/>
        <w:rPr>
          <w:rFonts w:ascii="仿宋" w:hAnsi="仿宋" w:eastAsia="仿宋" w:cs="仿宋"/>
          <w:color w:val="000000" w:themeColor="text1"/>
          <w:sz w:val="33"/>
          <w14:textFill>
            <w14:solidFill>
              <w14:schemeClr w14:val="tx1"/>
            </w14:solidFill>
          </w14:textFill>
        </w:rPr>
      </w:pPr>
      <w:r>
        <w:rPr>
          <w:rFonts w:hint="eastAsia" w:ascii="仿宋" w:hAnsi="仿宋" w:eastAsia="仿宋" w:cs="仿宋"/>
          <w:color w:val="000000" w:themeColor="text1"/>
          <w:sz w:val="33"/>
          <w14:textFill>
            <w14:solidFill>
              <w14:schemeClr w14:val="tx1"/>
            </w14:solidFill>
          </w14:textFill>
        </w:rPr>
        <w:t>2019年度由于毕业生少于往年，就业人数、升学人数也相应有所减少。但毕业生平均月薪提高，就业质量有所提升，毕业生对学校的满意度也有所提升。具体数据见下表：</w:t>
      </w:r>
    </w:p>
    <w:p>
      <w:pPr>
        <w:ind w:firstLine="2634" w:firstLineChars="640"/>
        <w:rPr>
          <w:rFonts w:ascii="仿宋" w:hAnsi="仿宋" w:eastAsia="仿宋" w:cs="仿宋"/>
          <w:b/>
          <w:color w:val="000000" w:themeColor="text1"/>
          <w:sz w:val="41"/>
          <w14:textFill>
            <w14:solidFill>
              <w14:schemeClr w14:val="tx1"/>
            </w14:solidFill>
          </w14:textFill>
        </w:rPr>
      </w:pPr>
      <w:r>
        <w:rPr>
          <w:rFonts w:hint="eastAsia" w:ascii="仿宋" w:hAnsi="仿宋" w:eastAsia="仿宋" w:cs="仿宋"/>
          <w:b/>
          <w:color w:val="000000" w:themeColor="text1"/>
          <w:sz w:val="41"/>
          <w14:textFill>
            <w14:solidFill>
              <w14:schemeClr w14:val="tx1"/>
            </w14:solidFill>
          </w14:textFill>
        </w:rPr>
        <w:t>毕业生就业情况表</w:t>
      </w:r>
    </w:p>
    <w:p>
      <w:pPr>
        <w:ind w:firstLine="2972" w:firstLineChars="800"/>
        <w:rPr>
          <w:rFonts w:ascii="仿宋" w:hAnsi="仿宋" w:eastAsia="仿宋" w:cs="仿宋"/>
          <w:b/>
          <w:color w:val="000000" w:themeColor="text1"/>
          <w:sz w:val="37"/>
          <w14:textFill>
            <w14:solidFill>
              <w14:schemeClr w14:val="tx1"/>
            </w14:solidFill>
          </w14:textFill>
        </w:rPr>
      </w:pPr>
    </w:p>
    <w:tbl>
      <w:tblPr>
        <w:tblStyle w:val="8"/>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4"/>
        <w:gridCol w:w="1564"/>
        <w:gridCol w:w="1564"/>
        <w:gridCol w:w="1443"/>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31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项  目</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2018年</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2019年</w:t>
            </w:r>
          </w:p>
        </w:tc>
        <w:tc>
          <w:tcPr>
            <w:tcW w:w="1443"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增长数</w:t>
            </w:r>
          </w:p>
        </w:tc>
        <w:tc>
          <w:tcPr>
            <w:tcW w:w="142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331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毕业生人数</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789</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500</w:t>
            </w:r>
          </w:p>
        </w:tc>
        <w:tc>
          <w:tcPr>
            <w:tcW w:w="1443"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-289</w:t>
            </w:r>
          </w:p>
        </w:tc>
        <w:tc>
          <w:tcPr>
            <w:tcW w:w="142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31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毕业率（巩固率）</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95%</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100%</w:t>
            </w:r>
          </w:p>
        </w:tc>
        <w:tc>
          <w:tcPr>
            <w:tcW w:w="1443" w:type="dxa"/>
            <w:vAlign w:val="center"/>
          </w:tcPr>
          <w:p>
            <w:pPr>
              <w:jc w:val="center"/>
              <w:rPr>
                <w:rFonts w:ascii="仿宋" w:hAnsi="仿宋" w:eastAsia="仿宋" w:cs="仿宋"/>
                <w:color w:val="000000" w:themeColor="text1"/>
                <w:sz w:val="25"/>
                <w14:textFill>
                  <w14:solidFill>
                    <w14:schemeClr w14:val="tx1"/>
                  </w14:solidFill>
                </w14:textFill>
              </w:rPr>
            </w:pPr>
          </w:p>
        </w:tc>
        <w:tc>
          <w:tcPr>
            <w:tcW w:w="142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31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就业人数</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775</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483</w:t>
            </w:r>
          </w:p>
        </w:tc>
        <w:tc>
          <w:tcPr>
            <w:tcW w:w="1443"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-292</w:t>
            </w:r>
          </w:p>
        </w:tc>
        <w:tc>
          <w:tcPr>
            <w:tcW w:w="142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31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就业率</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98%</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96.6%</w:t>
            </w:r>
          </w:p>
        </w:tc>
        <w:tc>
          <w:tcPr>
            <w:tcW w:w="1443" w:type="dxa"/>
            <w:vAlign w:val="center"/>
          </w:tcPr>
          <w:p>
            <w:pPr>
              <w:jc w:val="center"/>
              <w:rPr>
                <w:rFonts w:ascii="仿宋" w:hAnsi="仿宋" w:eastAsia="仿宋" w:cs="仿宋"/>
                <w:color w:val="000000" w:themeColor="text1"/>
                <w:sz w:val="25"/>
                <w14:textFill>
                  <w14:solidFill>
                    <w14:schemeClr w14:val="tx1"/>
                  </w14:solidFill>
                </w14:textFill>
              </w:rPr>
            </w:pPr>
          </w:p>
        </w:tc>
        <w:tc>
          <w:tcPr>
            <w:tcW w:w="142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331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升学人数</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91</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52</w:t>
            </w:r>
          </w:p>
        </w:tc>
        <w:tc>
          <w:tcPr>
            <w:tcW w:w="1443"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-39</w:t>
            </w:r>
          </w:p>
        </w:tc>
        <w:tc>
          <w:tcPr>
            <w:tcW w:w="142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31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直接就业率</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88%</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89%</w:t>
            </w:r>
          </w:p>
        </w:tc>
        <w:tc>
          <w:tcPr>
            <w:tcW w:w="1443" w:type="dxa"/>
            <w:vAlign w:val="center"/>
          </w:tcPr>
          <w:p>
            <w:pPr>
              <w:jc w:val="center"/>
              <w:rPr>
                <w:rFonts w:ascii="仿宋" w:hAnsi="仿宋" w:eastAsia="仿宋" w:cs="仿宋"/>
                <w:color w:val="000000" w:themeColor="text1"/>
                <w:sz w:val="25"/>
                <w14:textFill>
                  <w14:solidFill>
                    <w14:schemeClr w14:val="tx1"/>
                  </w14:solidFill>
                </w14:textFill>
              </w:rPr>
            </w:pPr>
          </w:p>
        </w:tc>
        <w:tc>
          <w:tcPr>
            <w:tcW w:w="142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31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毕业生平均月收入</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2600</w:t>
            </w:r>
          </w:p>
        </w:tc>
        <w:tc>
          <w:tcPr>
            <w:tcW w:w="1564" w:type="dxa"/>
            <w:vAlign w:val="center"/>
          </w:tcPr>
          <w:p>
            <w:pPr>
              <w:ind w:firstLine="250" w:firstLineChars="100"/>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2800</w:t>
            </w:r>
          </w:p>
        </w:tc>
        <w:tc>
          <w:tcPr>
            <w:tcW w:w="1443"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200</w:t>
            </w:r>
          </w:p>
        </w:tc>
        <w:tc>
          <w:tcPr>
            <w:tcW w:w="142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31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毕业生初次就业起薪</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2200</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2350</w:t>
            </w:r>
          </w:p>
        </w:tc>
        <w:tc>
          <w:tcPr>
            <w:tcW w:w="1443"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150</w:t>
            </w:r>
          </w:p>
        </w:tc>
        <w:tc>
          <w:tcPr>
            <w:tcW w:w="142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31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用人单位满意度（抽样）</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93%</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95%</w:t>
            </w:r>
          </w:p>
        </w:tc>
        <w:tc>
          <w:tcPr>
            <w:tcW w:w="1443" w:type="dxa"/>
            <w:vAlign w:val="center"/>
          </w:tcPr>
          <w:p>
            <w:pPr>
              <w:jc w:val="center"/>
              <w:rPr>
                <w:rFonts w:ascii="仿宋" w:hAnsi="仿宋" w:eastAsia="仿宋" w:cs="仿宋"/>
                <w:color w:val="000000" w:themeColor="text1"/>
                <w:sz w:val="25"/>
                <w14:textFill>
                  <w14:solidFill>
                    <w14:schemeClr w14:val="tx1"/>
                  </w14:solidFill>
                </w14:textFill>
              </w:rPr>
            </w:pPr>
          </w:p>
        </w:tc>
        <w:tc>
          <w:tcPr>
            <w:tcW w:w="142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31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创业率</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12</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4</w:t>
            </w:r>
          </w:p>
        </w:tc>
        <w:tc>
          <w:tcPr>
            <w:tcW w:w="1443"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-8</w:t>
            </w:r>
          </w:p>
        </w:tc>
        <w:tc>
          <w:tcPr>
            <w:tcW w:w="142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31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毕业生就业满意度（抽样）</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95%</w:t>
            </w:r>
          </w:p>
        </w:tc>
        <w:tc>
          <w:tcPr>
            <w:tcW w:w="156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96%</w:t>
            </w:r>
          </w:p>
        </w:tc>
        <w:tc>
          <w:tcPr>
            <w:tcW w:w="1443" w:type="dxa"/>
            <w:vAlign w:val="center"/>
          </w:tcPr>
          <w:p>
            <w:pPr>
              <w:jc w:val="center"/>
              <w:rPr>
                <w:rFonts w:ascii="仿宋" w:hAnsi="仿宋" w:eastAsia="仿宋" w:cs="仿宋"/>
                <w:color w:val="000000" w:themeColor="text1"/>
                <w:sz w:val="25"/>
                <w14:textFill>
                  <w14:solidFill>
                    <w14:schemeClr w14:val="tx1"/>
                  </w14:solidFill>
                </w14:textFill>
              </w:rPr>
            </w:pPr>
          </w:p>
        </w:tc>
        <w:tc>
          <w:tcPr>
            <w:tcW w:w="1424"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w:t>
            </w:r>
          </w:p>
        </w:tc>
      </w:tr>
    </w:tbl>
    <w:p>
      <w:pPr>
        <w:rPr>
          <w:rFonts w:hint="eastAsia" w:ascii="仿宋" w:hAnsi="仿宋" w:eastAsia="仿宋" w:cs="仿宋"/>
          <w:color w:val="C00000"/>
          <w:sz w:val="33"/>
        </w:rPr>
      </w:pPr>
    </w:p>
    <w:p>
      <w:pPr>
        <w:rPr>
          <w:rFonts w:hint="eastAsia" w:ascii="仿宋" w:hAnsi="仿宋" w:eastAsia="仿宋" w:cs="仿宋"/>
          <w:color w:val="C00000"/>
          <w:sz w:val="33"/>
        </w:rPr>
      </w:pPr>
    </w:p>
    <w:p>
      <w:pPr>
        <w:rPr>
          <w:rFonts w:ascii="仿宋" w:hAnsi="仿宋" w:eastAsia="仿宋" w:cs="仿宋"/>
          <w:b/>
          <w:color w:val="000000" w:themeColor="text1"/>
          <w:sz w:val="37"/>
          <w14:textFill>
            <w14:solidFill>
              <w14:schemeClr w14:val="tx1"/>
            </w14:solidFill>
          </w14:textFill>
        </w:rPr>
      </w:pPr>
      <w:r>
        <w:rPr>
          <w:rFonts w:hint="eastAsia" w:ascii="仿宋" w:hAnsi="仿宋" w:eastAsia="仿宋" w:cs="仿宋"/>
          <w:b/>
          <w:color w:val="000000" w:themeColor="text1"/>
          <w:sz w:val="37"/>
          <w14:textFill>
            <w14:solidFill>
              <w14:schemeClr w14:val="tx1"/>
            </w14:solidFill>
          </w14:textFill>
        </w:rPr>
        <w:t>2019年度毕业生分专业类别就业率、对口率统计表</w:t>
      </w:r>
    </w:p>
    <w:tbl>
      <w:tblPr>
        <w:tblStyle w:val="8"/>
        <w:tblpPr w:leftFromText="180" w:rightFromText="180" w:vertAnchor="page" w:horzAnchor="page" w:tblpX="1615" w:tblpY="3209"/>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1725"/>
        <w:gridCol w:w="1500"/>
        <w:gridCol w:w="1165"/>
        <w:gridCol w:w="1439"/>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040" w:type="dxa"/>
            <w:vAlign w:val="center"/>
          </w:tcPr>
          <w:p>
            <w:pPr>
              <w:jc w:val="center"/>
              <w:rPr>
                <w:rFonts w:ascii="仿宋" w:hAnsi="仿宋" w:eastAsia="仿宋" w:cs="仿宋"/>
                <w:color w:val="000000" w:themeColor="text1"/>
                <w:sz w:val="27"/>
                <w14:textFill>
                  <w14:solidFill>
                    <w14:schemeClr w14:val="tx1"/>
                  </w14:solidFill>
                </w14:textFill>
              </w:rPr>
            </w:pPr>
            <w:r>
              <w:rPr>
                <w:rFonts w:hint="eastAsia" w:ascii="仿宋" w:hAnsi="仿宋" w:eastAsia="仿宋" w:cs="仿宋"/>
                <w:color w:val="000000" w:themeColor="text1"/>
                <w:sz w:val="27"/>
                <w14:textFill>
                  <w14:solidFill>
                    <w14:schemeClr w14:val="tx1"/>
                  </w14:solidFill>
                </w14:textFill>
              </w:rPr>
              <w:t>专业名称</w:t>
            </w:r>
          </w:p>
        </w:tc>
        <w:tc>
          <w:tcPr>
            <w:tcW w:w="1725" w:type="dxa"/>
            <w:vAlign w:val="center"/>
          </w:tcPr>
          <w:p>
            <w:pPr>
              <w:jc w:val="center"/>
              <w:rPr>
                <w:rFonts w:ascii="仿宋" w:hAnsi="仿宋" w:eastAsia="仿宋" w:cs="仿宋"/>
                <w:color w:val="000000" w:themeColor="text1"/>
                <w:sz w:val="27"/>
                <w14:textFill>
                  <w14:solidFill>
                    <w14:schemeClr w14:val="tx1"/>
                  </w14:solidFill>
                </w14:textFill>
              </w:rPr>
            </w:pPr>
            <w:r>
              <w:rPr>
                <w:rFonts w:hint="eastAsia" w:ascii="仿宋" w:hAnsi="仿宋" w:eastAsia="仿宋" w:cs="仿宋"/>
                <w:color w:val="000000" w:themeColor="text1"/>
                <w:sz w:val="27"/>
                <w14:textFill>
                  <w14:solidFill>
                    <w14:schemeClr w14:val="tx1"/>
                  </w14:solidFill>
                </w14:textFill>
              </w:rPr>
              <w:t>毕业生总人</w:t>
            </w:r>
          </w:p>
        </w:tc>
        <w:tc>
          <w:tcPr>
            <w:tcW w:w="1500" w:type="dxa"/>
            <w:vAlign w:val="center"/>
          </w:tcPr>
          <w:p>
            <w:pPr>
              <w:jc w:val="center"/>
              <w:rPr>
                <w:rFonts w:ascii="仿宋" w:hAnsi="仿宋" w:eastAsia="仿宋" w:cs="仿宋"/>
                <w:color w:val="000000" w:themeColor="text1"/>
                <w:sz w:val="27"/>
                <w14:textFill>
                  <w14:solidFill>
                    <w14:schemeClr w14:val="tx1"/>
                  </w14:solidFill>
                </w14:textFill>
              </w:rPr>
            </w:pPr>
            <w:r>
              <w:rPr>
                <w:rFonts w:hint="eastAsia" w:ascii="仿宋" w:hAnsi="仿宋" w:eastAsia="仿宋" w:cs="仿宋"/>
                <w:color w:val="000000" w:themeColor="text1"/>
                <w:sz w:val="27"/>
                <w14:textFill>
                  <w14:solidFill>
                    <w14:schemeClr w14:val="tx1"/>
                  </w14:solidFill>
                </w14:textFill>
              </w:rPr>
              <w:t>就业人数</w:t>
            </w:r>
          </w:p>
        </w:tc>
        <w:tc>
          <w:tcPr>
            <w:tcW w:w="1165" w:type="dxa"/>
            <w:vAlign w:val="center"/>
          </w:tcPr>
          <w:p>
            <w:pPr>
              <w:jc w:val="center"/>
              <w:rPr>
                <w:rFonts w:ascii="仿宋" w:hAnsi="仿宋" w:eastAsia="仿宋" w:cs="仿宋"/>
                <w:color w:val="000000" w:themeColor="text1"/>
                <w:sz w:val="27"/>
                <w14:textFill>
                  <w14:solidFill>
                    <w14:schemeClr w14:val="tx1"/>
                  </w14:solidFill>
                </w14:textFill>
              </w:rPr>
            </w:pPr>
            <w:r>
              <w:rPr>
                <w:rFonts w:hint="eastAsia" w:ascii="仿宋" w:hAnsi="仿宋" w:eastAsia="仿宋" w:cs="仿宋"/>
                <w:color w:val="000000" w:themeColor="text1"/>
                <w:sz w:val="27"/>
                <w14:textFill>
                  <w14:solidFill>
                    <w14:schemeClr w14:val="tx1"/>
                  </w14:solidFill>
                </w14:textFill>
              </w:rPr>
              <w:t>就业率</w:t>
            </w:r>
          </w:p>
        </w:tc>
        <w:tc>
          <w:tcPr>
            <w:tcW w:w="1439" w:type="dxa"/>
            <w:vAlign w:val="center"/>
          </w:tcPr>
          <w:p>
            <w:pPr>
              <w:ind w:firstLine="270" w:firstLineChars="100"/>
              <w:rPr>
                <w:rFonts w:hint="eastAsia" w:ascii="仿宋" w:hAnsi="仿宋" w:eastAsia="仿宋" w:cs="仿宋"/>
                <w:color w:val="000000" w:themeColor="text1"/>
                <w:sz w:val="27"/>
                <w:lang w:eastAsia="zh-CN"/>
                <w14:textFill>
                  <w14:solidFill>
                    <w14:schemeClr w14:val="tx1"/>
                  </w14:solidFill>
                </w14:textFill>
              </w:rPr>
            </w:pPr>
            <w:r>
              <w:rPr>
                <w:rFonts w:hint="eastAsia" w:ascii="仿宋" w:hAnsi="仿宋" w:eastAsia="仿宋" w:cs="仿宋"/>
                <w:color w:val="000000" w:themeColor="text1"/>
                <w:sz w:val="27"/>
                <w14:textFill>
                  <w14:solidFill>
                    <w14:schemeClr w14:val="tx1"/>
                  </w14:solidFill>
                </w14:textFill>
              </w:rPr>
              <w:t>对口</w:t>
            </w:r>
          </w:p>
          <w:p>
            <w:pPr>
              <w:ind w:firstLine="270" w:firstLineChars="100"/>
              <w:rPr>
                <w:rFonts w:ascii="仿宋" w:hAnsi="仿宋" w:eastAsia="仿宋" w:cs="仿宋"/>
                <w:color w:val="000000" w:themeColor="text1"/>
                <w:sz w:val="27"/>
                <w14:textFill>
                  <w14:solidFill>
                    <w14:schemeClr w14:val="tx1"/>
                  </w14:solidFill>
                </w14:textFill>
              </w:rPr>
            </w:pPr>
            <w:r>
              <w:rPr>
                <w:rFonts w:hint="eastAsia" w:ascii="仿宋" w:hAnsi="仿宋" w:eastAsia="仿宋" w:cs="仿宋"/>
                <w:color w:val="000000" w:themeColor="text1"/>
                <w:sz w:val="27"/>
                <w14:textFill>
                  <w14:solidFill>
                    <w14:schemeClr w14:val="tx1"/>
                  </w14:solidFill>
                </w14:textFill>
              </w:rPr>
              <w:t>就业人数</w:t>
            </w:r>
          </w:p>
        </w:tc>
        <w:tc>
          <w:tcPr>
            <w:tcW w:w="1446" w:type="dxa"/>
            <w:vAlign w:val="center"/>
          </w:tcPr>
          <w:p>
            <w:pPr>
              <w:ind w:firstLine="405" w:firstLineChars="150"/>
              <w:rPr>
                <w:rFonts w:ascii="仿宋" w:hAnsi="仿宋" w:eastAsia="仿宋" w:cs="仿宋"/>
                <w:color w:val="000000" w:themeColor="text1"/>
                <w:sz w:val="27"/>
                <w14:textFill>
                  <w14:solidFill>
                    <w14:schemeClr w14:val="tx1"/>
                  </w14:solidFill>
                </w14:textFill>
              </w:rPr>
            </w:pPr>
            <w:r>
              <w:rPr>
                <w:rFonts w:hint="eastAsia" w:ascii="仿宋" w:hAnsi="仿宋" w:eastAsia="仿宋" w:cs="仿宋"/>
                <w:color w:val="000000" w:themeColor="text1"/>
                <w:sz w:val="27"/>
                <w14:textFill>
                  <w14:solidFill>
                    <w14:schemeClr w14:val="tx1"/>
                  </w14:solidFill>
                </w14:textFill>
              </w:rPr>
              <w:t>对口</w:t>
            </w:r>
          </w:p>
          <w:p>
            <w:pPr>
              <w:jc w:val="center"/>
              <w:rPr>
                <w:rFonts w:ascii="仿宋" w:hAnsi="仿宋" w:eastAsia="仿宋" w:cs="仿宋"/>
                <w:color w:val="000000" w:themeColor="text1"/>
                <w:sz w:val="27"/>
                <w14:textFill>
                  <w14:solidFill>
                    <w14:schemeClr w14:val="tx1"/>
                  </w14:solidFill>
                </w14:textFill>
              </w:rPr>
            </w:pPr>
            <w:r>
              <w:rPr>
                <w:rFonts w:hint="eastAsia" w:ascii="仿宋" w:hAnsi="仿宋" w:eastAsia="仿宋" w:cs="仿宋"/>
                <w:color w:val="000000" w:themeColor="text1"/>
                <w:sz w:val="27"/>
                <w14:textFill>
                  <w14:solidFill>
                    <w14:schemeClr w14:val="tx1"/>
                  </w14:solidFill>
                </w14:textFill>
              </w:rPr>
              <w:t>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40"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能源与新能源类</w:t>
            </w:r>
          </w:p>
        </w:tc>
        <w:tc>
          <w:tcPr>
            <w:tcW w:w="1725"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20</w:t>
            </w:r>
          </w:p>
        </w:tc>
        <w:tc>
          <w:tcPr>
            <w:tcW w:w="1500"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20</w:t>
            </w:r>
          </w:p>
        </w:tc>
        <w:tc>
          <w:tcPr>
            <w:tcW w:w="1165"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100%</w:t>
            </w:r>
          </w:p>
        </w:tc>
        <w:tc>
          <w:tcPr>
            <w:tcW w:w="1439"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20</w:t>
            </w:r>
          </w:p>
        </w:tc>
        <w:tc>
          <w:tcPr>
            <w:tcW w:w="1446"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40"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土木水利类</w:t>
            </w:r>
          </w:p>
        </w:tc>
        <w:tc>
          <w:tcPr>
            <w:tcW w:w="1725"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2</w:t>
            </w:r>
          </w:p>
        </w:tc>
        <w:tc>
          <w:tcPr>
            <w:tcW w:w="1500"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2</w:t>
            </w:r>
          </w:p>
        </w:tc>
        <w:tc>
          <w:tcPr>
            <w:tcW w:w="1165"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100%</w:t>
            </w:r>
          </w:p>
        </w:tc>
        <w:tc>
          <w:tcPr>
            <w:tcW w:w="1439"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2</w:t>
            </w:r>
          </w:p>
        </w:tc>
        <w:tc>
          <w:tcPr>
            <w:tcW w:w="1446"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040"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加工制造类</w:t>
            </w:r>
          </w:p>
        </w:tc>
        <w:tc>
          <w:tcPr>
            <w:tcW w:w="1725"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w:t>
            </w:r>
          </w:p>
        </w:tc>
        <w:tc>
          <w:tcPr>
            <w:tcW w:w="1500"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w:t>
            </w:r>
          </w:p>
        </w:tc>
        <w:tc>
          <w:tcPr>
            <w:tcW w:w="1165"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100%</w:t>
            </w:r>
          </w:p>
        </w:tc>
        <w:tc>
          <w:tcPr>
            <w:tcW w:w="1439"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w:t>
            </w:r>
          </w:p>
        </w:tc>
        <w:tc>
          <w:tcPr>
            <w:tcW w:w="1446"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040"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交通运输类</w:t>
            </w:r>
          </w:p>
        </w:tc>
        <w:tc>
          <w:tcPr>
            <w:tcW w:w="1725" w:type="dxa"/>
            <w:vAlign w:val="center"/>
          </w:tcPr>
          <w:p>
            <w:pPr>
              <w:jc w:val="center"/>
              <w:rPr>
                <w:rFonts w:hint="eastAsia" w:ascii="仿宋" w:hAnsi="仿宋" w:eastAsia="仿宋" w:cs="仿宋"/>
                <w:color w:val="000000" w:themeColor="text1"/>
                <w:sz w:val="25"/>
                <w:lang w:val="en-US" w:eastAsia="zh-CN"/>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38</w:t>
            </w:r>
            <w:r>
              <w:rPr>
                <w:rFonts w:hint="eastAsia" w:ascii="仿宋" w:hAnsi="仿宋" w:eastAsia="仿宋" w:cs="仿宋"/>
                <w:color w:val="000000" w:themeColor="text1"/>
                <w:sz w:val="25"/>
                <w:lang w:val="en-US" w:eastAsia="zh-CN"/>
                <w14:textFill>
                  <w14:solidFill>
                    <w14:schemeClr w14:val="tx1"/>
                  </w14:solidFill>
                </w14:textFill>
              </w:rPr>
              <w:t>0</w:t>
            </w:r>
          </w:p>
        </w:tc>
        <w:tc>
          <w:tcPr>
            <w:tcW w:w="1500" w:type="dxa"/>
            <w:vAlign w:val="center"/>
          </w:tcPr>
          <w:p>
            <w:pPr>
              <w:jc w:val="center"/>
              <w:rPr>
                <w:rFonts w:hint="default" w:ascii="仿宋" w:hAnsi="仿宋" w:eastAsia="仿宋" w:cs="仿宋"/>
                <w:color w:val="000000" w:themeColor="text1"/>
                <w:sz w:val="25"/>
                <w:lang w:val="en-US" w:eastAsia="zh-CN"/>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3</w:t>
            </w:r>
            <w:r>
              <w:rPr>
                <w:rFonts w:hint="eastAsia" w:ascii="仿宋" w:hAnsi="仿宋" w:eastAsia="仿宋" w:cs="仿宋"/>
                <w:color w:val="000000" w:themeColor="text1"/>
                <w:sz w:val="25"/>
                <w:lang w:val="en-US" w:eastAsia="zh-CN"/>
                <w14:textFill>
                  <w14:solidFill>
                    <w14:schemeClr w14:val="tx1"/>
                  </w14:solidFill>
                </w14:textFill>
              </w:rPr>
              <w:t>66</w:t>
            </w:r>
          </w:p>
        </w:tc>
        <w:tc>
          <w:tcPr>
            <w:tcW w:w="1165"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9</w:t>
            </w:r>
            <w:r>
              <w:rPr>
                <w:rFonts w:hint="eastAsia" w:ascii="仿宋" w:hAnsi="仿宋" w:eastAsia="仿宋" w:cs="仿宋"/>
                <w:color w:val="000000" w:themeColor="text1"/>
                <w:sz w:val="25"/>
                <w:lang w:val="en-US" w:eastAsia="zh-CN"/>
                <w14:textFill>
                  <w14:solidFill>
                    <w14:schemeClr w14:val="tx1"/>
                  </w14:solidFill>
                </w14:textFill>
              </w:rPr>
              <w:t>6</w:t>
            </w:r>
            <w:r>
              <w:rPr>
                <w:rFonts w:hint="eastAsia" w:ascii="仿宋" w:hAnsi="仿宋" w:eastAsia="仿宋" w:cs="仿宋"/>
                <w:color w:val="000000" w:themeColor="text1"/>
                <w:sz w:val="25"/>
                <w14:textFill>
                  <w14:solidFill>
                    <w14:schemeClr w14:val="tx1"/>
                  </w14:solidFill>
                </w14:textFill>
              </w:rPr>
              <w:t>%</w:t>
            </w:r>
          </w:p>
        </w:tc>
        <w:tc>
          <w:tcPr>
            <w:tcW w:w="1439" w:type="dxa"/>
            <w:vAlign w:val="center"/>
          </w:tcPr>
          <w:p>
            <w:pPr>
              <w:jc w:val="center"/>
              <w:rPr>
                <w:rFonts w:hint="default" w:ascii="仿宋" w:hAnsi="仿宋" w:eastAsia="仿宋" w:cs="仿宋"/>
                <w:color w:val="000000" w:themeColor="text1"/>
                <w:sz w:val="25"/>
                <w:lang w:val="en-US" w:eastAsia="zh-CN"/>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3</w:t>
            </w:r>
            <w:r>
              <w:rPr>
                <w:rFonts w:hint="eastAsia" w:ascii="仿宋" w:hAnsi="仿宋" w:eastAsia="仿宋" w:cs="仿宋"/>
                <w:color w:val="000000" w:themeColor="text1"/>
                <w:sz w:val="25"/>
                <w:lang w:val="en-US" w:eastAsia="zh-CN"/>
                <w14:textFill>
                  <w14:solidFill>
                    <w14:schemeClr w14:val="tx1"/>
                  </w14:solidFill>
                </w14:textFill>
              </w:rPr>
              <w:t>26</w:t>
            </w:r>
          </w:p>
        </w:tc>
        <w:tc>
          <w:tcPr>
            <w:tcW w:w="1446"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lang w:val="en-US" w:eastAsia="zh-CN"/>
                <w14:textFill>
                  <w14:solidFill>
                    <w14:schemeClr w14:val="tx1"/>
                  </w14:solidFill>
                </w14:textFill>
              </w:rPr>
              <w:t>89</w:t>
            </w:r>
            <w:r>
              <w:rPr>
                <w:rFonts w:hint="eastAsia" w:ascii="仿宋" w:hAnsi="仿宋" w:eastAsia="仿宋" w:cs="仿宋"/>
                <w:color w:val="000000" w:themeColor="text1"/>
                <w:sz w:val="25"/>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40"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信息技术类</w:t>
            </w:r>
          </w:p>
        </w:tc>
        <w:tc>
          <w:tcPr>
            <w:tcW w:w="1725" w:type="dxa"/>
            <w:vAlign w:val="center"/>
          </w:tcPr>
          <w:p>
            <w:pPr>
              <w:jc w:val="center"/>
              <w:rPr>
                <w:rFonts w:hint="default" w:ascii="仿宋" w:hAnsi="仿宋" w:eastAsia="仿宋" w:cs="仿宋"/>
                <w:color w:val="000000" w:themeColor="text1"/>
                <w:sz w:val="25"/>
                <w:lang w:val="en-US" w:eastAsia="zh-CN"/>
                <w14:textFill>
                  <w14:solidFill>
                    <w14:schemeClr w14:val="tx1"/>
                  </w14:solidFill>
                </w14:textFill>
              </w:rPr>
            </w:pPr>
            <w:r>
              <w:rPr>
                <w:rFonts w:hint="eastAsia" w:ascii="仿宋" w:hAnsi="仿宋" w:eastAsia="仿宋" w:cs="仿宋"/>
                <w:color w:val="000000" w:themeColor="text1"/>
                <w:sz w:val="25"/>
                <w:lang w:val="en-US" w:eastAsia="zh-CN"/>
                <w14:textFill>
                  <w14:solidFill>
                    <w14:schemeClr w14:val="tx1"/>
                  </w14:solidFill>
                </w14:textFill>
              </w:rPr>
              <w:t>80</w:t>
            </w:r>
          </w:p>
        </w:tc>
        <w:tc>
          <w:tcPr>
            <w:tcW w:w="1500" w:type="dxa"/>
            <w:vAlign w:val="center"/>
          </w:tcPr>
          <w:p>
            <w:pPr>
              <w:jc w:val="center"/>
              <w:rPr>
                <w:rFonts w:hint="eastAsia" w:ascii="仿宋" w:hAnsi="仿宋" w:eastAsia="仿宋" w:cs="仿宋"/>
                <w:color w:val="000000" w:themeColor="text1"/>
                <w:sz w:val="25"/>
                <w:lang w:val="en-US" w:eastAsia="zh-CN"/>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7</w:t>
            </w:r>
            <w:r>
              <w:rPr>
                <w:rFonts w:hint="eastAsia" w:ascii="仿宋" w:hAnsi="仿宋" w:eastAsia="仿宋" w:cs="仿宋"/>
                <w:color w:val="000000" w:themeColor="text1"/>
                <w:sz w:val="25"/>
                <w:lang w:val="en-US" w:eastAsia="zh-CN"/>
                <w14:textFill>
                  <w14:solidFill>
                    <w14:schemeClr w14:val="tx1"/>
                  </w14:solidFill>
                </w14:textFill>
              </w:rPr>
              <w:t>7</w:t>
            </w:r>
          </w:p>
        </w:tc>
        <w:tc>
          <w:tcPr>
            <w:tcW w:w="1165"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9</w:t>
            </w:r>
            <w:r>
              <w:rPr>
                <w:rFonts w:hint="eastAsia" w:ascii="仿宋" w:hAnsi="仿宋" w:eastAsia="仿宋" w:cs="仿宋"/>
                <w:color w:val="000000" w:themeColor="text1"/>
                <w:sz w:val="25"/>
                <w:lang w:val="en-US" w:eastAsia="zh-CN"/>
                <w14:textFill>
                  <w14:solidFill>
                    <w14:schemeClr w14:val="tx1"/>
                  </w14:solidFill>
                </w14:textFill>
              </w:rPr>
              <w:t>6</w:t>
            </w:r>
            <w:r>
              <w:rPr>
                <w:rFonts w:hint="eastAsia" w:ascii="仿宋" w:hAnsi="仿宋" w:eastAsia="仿宋" w:cs="仿宋"/>
                <w:color w:val="000000" w:themeColor="text1"/>
                <w:sz w:val="25"/>
                <w14:textFill>
                  <w14:solidFill>
                    <w14:schemeClr w14:val="tx1"/>
                  </w14:solidFill>
                </w14:textFill>
              </w:rPr>
              <w:t>%</w:t>
            </w:r>
          </w:p>
        </w:tc>
        <w:tc>
          <w:tcPr>
            <w:tcW w:w="1439" w:type="dxa"/>
            <w:vAlign w:val="center"/>
          </w:tcPr>
          <w:p>
            <w:pPr>
              <w:jc w:val="center"/>
              <w:rPr>
                <w:rFonts w:hint="default" w:ascii="仿宋" w:hAnsi="仿宋" w:eastAsia="仿宋" w:cs="仿宋"/>
                <w:color w:val="000000" w:themeColor="text1"/>
                <w:sz w:val="25"/>
                <w:lang w:val="en-US" w:eastAsia="zh-CN"/>
                <w14:textFill>
                  <w14:solidFill>
                    <w14:schemeClr w14:val="tx1"/>
                  </w14:solidFill>
                </w14:textFill>
              </w:rPr>
            </w:pPr>
            <w:r>
              <w:rPr>
                <w:rFonts w:hint="eastAsia" w:ascii="仿宋" w:hAnsi="仿宋" w:eastAsia="仿宋" w:cs="仿宋"/>
                <w:color w:val="000000" w:themeColor="text1"/>
                <w:sz w:val="25"/>
                <w:lang w:val="en-US" w:eastAsia="zh-CN"/>
                <w14:textFill>
                  <w14:solidFill>
                    <w14:schemeClr w14:val="tx1"/>
                  </w14:solidFill>
                </w14:textFill>
              </w:rPr>
              <w:t>75</w:t>
            </w:r>
          </w:p>
        </w:tc>
        <w:tc>
          <w:tcPr>
            <w:tcW w:w="1446"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9</w:t>
            </w:r>
            <w:r>
              <w:rPr>
                <w:rFonts w:hint="eastAsia" w:ascii="仿宋" w:hAnsi="仿宋" w:eastAsia="仿宋" w:cs="仿宋"/>
                <w:color w:val="000000" w:themeColor="text1"/>
                <w:sz w:val="25"/>
                <w:lang w:val="en-US" w:eastAsia="zh-CN"/>
                <w14:textFill>
                  <w14:solidFill>
                    <w14:schemeClr w14:val="tx1"/>
                  </w14:solidFill>
                </w14:textFill>
              </w:rPr>
              <w:t>7</w:t>
            </w:r>
            <w:r>
              <w:rPr>
                <w:rFonts w:hint="eastAsia" w:ascii="仿宋" w:hAnsi="仿宋" w:eastAsia="仿宋" w:cs="仿宋"/>
                <w:color w:val="000000" w:themeColor="text1"/>
                <w:sz w:val="25"/>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040"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财贸商贸类</w:t>
            </w:r>
          </w:p>
        </w:tc>
        <w:tc>
          <w:tcPr>
            <w:tcW w:w="1725"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17</w:t>
            </w:r>
          </w:p>
        </w:tc>
        <w:tc>
          <w:tcPr>
            <w:tcW w:w="1500"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17</w:t>
            </w:r>
          </w:p>
        </w:tc>
        <w:tc>
          <w:tcPr>
            <w:tcW w:w="1165"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100%</w:t>
            </w:r>
          </w:p>
        </w:tc>
        <w:tc>
          <w:tcPr>
            <w:tcW w:w="1439"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17</w:t>
            </w:r>
          </w:p>
        </w:tc>
        <w:tc>
          <w:tcPr>
            <w:tcW w:w="1446" w:type="dxa"/>
            <w:vAlign w:val="center"/>
          </w:tcPr>
          <w:p>
            <w:pPr>
              <w:jc w:val="center"/>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100%</w:t>
            </w:r>
          </w:p>
        </w:tc>
      </w:tr>
    </w:tbl>
    <w:p>
      <w:pPr>
        <w:rPr>
          <w:rFonts w:ascii="仿宋" w:hAnsi="仿宋" w:eastAsia="仿宋" w:cs="仿宋"/>
          <w:b/>
          <w:color w:val="000000" w:themeColor="text1"/>
          <w:sz w:val="31"/>
          <w14:textFill>
            <w14:solidFill>
              <w14:schemeClr w14:val="tx1"/>
            </w14:solidFill>
          </w14:textFill>
        </w:rPr>
      </w:pPr>
    </w:p>
    <w:p>
      <w:pPr>
        <w:ind w:firstLine="1660" w:firstLineChars="447"/>
        <w:rPr>
          <w:rFonts w:ascii="仿宋" w:hAnsi="仿宋" w:eastAsia="仿宋" w:cs="仿宋"/>
          <w:b/>
          <w:color w:val="000000" w:themeColor="text1"/>
          <w:sz w:val="37"/>
          <w14:textFill>
            <w14:solidFill>
              <w14:schemeClr w14:val="tx1"/>
            </w14:solidFill>
          </w14:textFill>
        </w:rPr>
      </w:pPr>
      <w:r>
        <w:rPr>
          <w:rFonts w:hint="eastAsia" w:ascii="仿宋" w:hAnsi="仿宋" w:eastAsia="仿宋" w:cs="仿宋"/>
          <w:b/>
          <w:color w:val="000000" w:themeColor="text1"/>
          <w:sz w:val="37"/>
          <w14:textFill>
            <w14:solidFill>
              <w14:schemeClr w14:val="tx1"/>
            </w14:solidFill>
          </w14:textFill>
        </w:rPr>
        <w:t>2019年各专业毕业生对口就业人数</w:t>
      </w:r>
    </w:p>
    <w:p>
      <w:pPr>
        <w:rPr>
          <w:rFonts w:ascii="仿宋" w:hAnsi="仿宋" w:eastAsia="仿宋" w:cs="仿宋_GB2312"/>
          <w:b/>
          <w:bCs/>
          <w:sz w:val="32"/>
          <w:szCs w:val="32"/>
        </w:rPr>
      </w:pPr>
      <w:r>
        <w:rPr>
          <w:rFonts w:ascii="宋体" w:hAnsi="宋体" w:eastAsia="宋体" w:cs="宋体"/>
          <w:sz w:val="24"/>
        </w:rPr>
        <w:drawing>
          <wp:inline distT="0" distB="0" distL="114300" distR="114300">
            <wp:extent cx="5505450" cy="3481705"/>
            <wp:effectExtent l="0" t="0" r="0" b="444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3"/>
                    <a:stretch>
                      <a:fillRect/>
                    </a:stretch>
                  </pic:blipFill>
                  <pic:spPr>
                    <a:xfrm>
                      <a:off x="0" y="0"/>
                      <a:ext cx="5505450" cy="3481705"/>
                    </a:xfrm>
                    <a:prstGeom prst="rect">
                      <a:avLst/>
                    </a:prstGeom>
                    <a:noFill/>
                    <a:ln w="9525">
                      <a:noFill/>
                    </a:ln>
                  </pic:spPr>
                </pic:pic>
              </a:graphicData>
            </a:graphic>
          </wp:inline>
        </w:drawing>
      </w:r>
    </w:p>
    <w:p>
      <w:pPr>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2.5职业发展</w:t>
      </w:r>
    </w:p>
    <w:p>
      <w:pPr>
        <w:widowControl/>
        <w:shd w:val="clear" w:color="auto" w:fill="FFFFFF"/>
        <w:ind w:right="-483" w:rightChars="-230" w:firstLine="640" w:firstLineChars="200"/>
        <w:jc w:val="left"/>
        <w:rPr>
          <w:rFonts w:ascii="仿宋" w:hAnsi="仿宋" w:eastAsia="仿宋" w:cs="仿宋_GB2312"/>
          <w:sz w:val="32"/>
          <w:szCs w:val="32"/>
        </w:rPr>
      </w:pPr>
      <w:r>
        <w:rPr>
          <w:rFonts w:hint="eastAsia" w:ascii="仿宋" w:hAnsi="仿宋" w:eastAsia="仿宋" w:cs="仿宋_GB2312"/>
          <w:sz w:val="32"/>
          <w:szCs w:val="32"/>
        </w:rPr>
        <w:t>创新、创业教育是一种“就业型”教育，也是一种“发展型”教育，既体现</w:t>
      </w:r>
      <w:r>
        <w:fldChar w:fldCharType="begin"/>
      </w:r>
      <w:r>
        <w:instrText xml:space="preserve"> HYPERLINK "http://cpro.baidu.com/cpro/ui/uijs.php?adclass=0&amp;app_id=0&amp;c=news&amp;cf=1001&amp;ch=0&amp;di=128&amp;fv=19&amp;is_app=0&amp;jk=ef545a0edc5d9931&amp;k=%D6%B0%D2%B5%BD%CC%D3%FD&amp;k0=%D6%B0%D2%B5%BD%CC%D3%FD&amp;kdi0=0&amp;luki=5&amp;mcpm=0&amp;n=10&amp;p=baidu&amp;q=haoshuduoduo_cpr&amp;rb=0&amp;rs=1&amp;seller_id=1&amp;sid=31995ddce5a54ef&amp;ssp2=1&amp;stid=9&amp;t=tpclicked3_hc&amp;td=1959052&amp;tu=u1959052&amp;u=http%3A%2F%2Fwww%2Eniubb%2Enet%2Farticle%2F581296%2D1%2F1%2F&amp;urlid=0" \t "_blank" </w:instrText>
      </w:r>
      <w:r>
        <w:fldChar w:fldCharType="separate"/>
      </w:r>
      <w:r>
        <w:rPr>
          <w:rFonts w:hint="eastAsia" w:ascii="仿宋" w:hAnsi="仿宋" w:eastAsia="仿宋" w:cs="仿宋_GB2312"/>
          <w:sz w:val="32"/>
          <w:szCs w:val="32"/>
        </w:rPr>
        <w:t>职业教育</w:t>
      </w:r>
      <w:r>
        <w:rPr>
          <w:rFonts w:hint="eastAsia" w:ascii="仿宋" w:hAnsi="仿宋" w:eastAsia="仿宋" w:cs="仿宋_GB2312"/>
          <w:sz w:val="32"/>
          <w:szCs w:val="32"/>
        </w:rPr>
        <w:fldChar w:fldCharType="end"/>
      </w:r>
      <w:r>
        <w:rPr>
          <w:rFonts w:hint="eastAsia" w:ascii="仿宋" w:hAnsi="仿宋" w:eastAsia="仿宋" w:cs="仿宋_GB2312"/>
          <w:sz w:val="32"/>
          <w:szCs w:val="32"/>
        </w:rPr>
        <w:t>的内涵，又突出教育创新和对学生实际能力的培养，既是中职学生职业生涯设计、实现自身价值和满足现代职业教育发展的客观要求，也是中等职业学校教育教学改革的必然选择。一个人要想在竞争激烈的社会里立于不败之地，除了要有深厚的科学文化知识之外，还要具备</w:t>
      </w:r>
      <w:r>
        <w:fldChar w:fldCharType="begin"/>
      </w:r>
      <w:r>
        <w:instrText xml:space="preserve"> HYPERLINK "http://cpro.baidu.com/cpro/ui/uijs.php?adclass=0&amp;app_id=0&amp;c=news&amp;cf=1001&amp;ch=0&amp;di=128&amp;fv=19&amp;is_app=0&amp;jk=ef545a0edc5d9931&amp;k=%B4%B4%D2%B5%BE%AB%C9%F1&amp;k0=%B4%B4%D2%B5%BE%AB%C9%F1&amp;kdi0=0&amp;luki=7&amp;mcpm=0&amp;n=10&amp;p=baidu&amp;q=haoshuduoduo_cpr&amp;rb=0&amp;rs=1&amp;seller_id=1&amp;sid=31995ddce5a54ef&amp;ssp2=1&amp;stid=9&amp;t=tpclicked3_hc&amp;td=1959052&amp;tu=u1959052&amp;u=http%3A%2F%2Fwww%2Eniubb%2Enet%2Farticle%2F581296%2D1%2F1%2F&amp;urlid=0" \t "_blank" </w:instrText>
      </w:r>
      <w:r>
        <w:fldChar w:fldCharType="separate"/>
      </w:r>
      <w:r>
        <w:rPr>
          <w:rFonts w:hint="eastAsia" w:ascii="仿宋" w:hAnsi="仿宋" w:eastAsia="仿宋" w:cs="仿宋_GB2312"/>
          <w:sz w:val="32"/>
          <w:szCs w:val="32"/>
        </w:rPr>
        <w:t>创业精神</w:t>
      </w:r>
      <w:r>
        <w:rPr>
          <w:rFonts w:hint="eastAsia" w:ascii="仿宋" w:hAnsi="仿宋" w:eastAsia="仿宋" w:cs="仿宋_GB2312"/>
          <w:sz w:val="32"/>
          <w:szCs w:val="32"/>
        </w:rPr>
        <w:fldChar w:fldCharType="end"/>
      </w:r>
      <w:r>
        <w:rPr>
          <w:rFonts w:hint="eastAsia" w:ascii="仿宋" w:hAnsi="仿宋" w:eastAsia="仿宋" w:cs="仿宋_GB2312"/>
          <w:sz w:val="32"/>
          <w:szCs w:val="32"/>
        </w:rPr>
        <w:t>。因此，职业教育不仅仅是学生的就业培训，更应加强在创造、创新、创业能力方面的教育，培养学生</w:t>
      </w:r>
      <w:r>
        <w:fldChar w:fldCharType="begin"/>
      </w:r>
      <w:r>
        <w:instrText xml:space="preserve"> HYPERLINK "http://cpro.baidu.com/cpro/ui/uijs.php?adclass=0&amp;app_id=0&amp;c=news&amp;cf=1001&amp;ch=0&amp;di=128&amp;fv=19&amp;is_app=0&amp;jk=ef545a0edc5d9931&amp;k=%D7%D4%D6%F7%B4%B4%D2%B5&amp;k0=%D7%D4%D6%F7%B4%B4%D2%B5&amp;kdi0=0&amp;luki=8&amp;mcpm=0&amp;n=10&amp;p=baidu&amp;q=haoshuduoduo_cpr&amp;rb=0&amp;rs=1&amp;seller_id=1&amp;sid=31995ddce5a54ef&amp;ssp2=1&amp;stid=9&amp;t=tpclicked3_hc&amp;td=1959052&amp;tu=u1959052&amp;u=http%3A%2F%2Fwww%2Eniubb%2Enet%2Farticle%2F581296%2D1%2F1%2F&amp;urlid=0" \t "_blank" </w:instrText>
      </w:r>
      <w:r>
        <w:fldChar w:fldCharType="separate"/>
      </w:r>
      <w:r>
        <w:rPr>
          <w:rFonts w:hint="eastAsia" w:ascii="仿宋" w:hAnsi="仿宋" w:eastAsia="仿宋" w:cs="仿宋_GB2312"/>
          <w:sz w:val="32"/>
          <w:szCs w:val="32"/>
        </w:rPr>
        <w:t>自主创业</w:t>
      </w:r>
      <w:r>
        <w:rPr>
          <w:rFonts w:hint="eastAsia" w:ascii="仿宋" w:hAnsi="仿宋" w:eastAsia="仿宋" w:cs="仿宋_GB2312"/>
          <w:sz w:val="32"/>
          <w:szCs w:val="32"/>
        </w:rPr>
        <w:fldChar w:fldCharType="end"/>
      </w:r>
      <w:r>
        <w:rPr>
          <w:rFonts w:hint="eastAsia" w:ascii="仿宋" w:hAnsi="仿宋" w:eastAsia="仿宋" w:cs="仿宋_GB2312"/>
          <w:sz w:val="32"/>
          <w:szCs w:val="32"/>
        </w:rPr>
        <w:t>的意识，开发和提高学生的创业能力，培养创业精神，为各行各业输送更多的创业型人才。</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近年来，我校以“重技能、厚基础、宽专业、多领域”为原则设置和调整课程。其做法有三条。一是深入研究课程之间的内在联系，如文化课与专业课之间的联系，理论课与实训课之间的结合等，根据专业和学生特点，对课程进行适当的增减，对教材中有关培养创造力的课程内容重点讲授并进行实训演练，以提高教学效果。二是开设创业和就业指导课程。三是邀请成功人士来校介绍创业、就业经验，使学生在就业观念上有新的转变。</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培养学生的创业意识，创业意识是创业的基础和前提。创业教育重在培养学生的创业意识，提高学生的整体素质。要转变学生的</w:t>
      </w:r>
      <w:r>
        <w:fldChar w:fldCharType="begin"/>
      </w:r>
      <w:r>
        <w:instrText xml:space="preserve"> HYPERLINK "http://cpro.baidu.com/cpro/ui/uijs.php?adclass=0&amp;app_id=0&amp;c=news&amp;cf=1001&amp;ch=0&amp;di=128&amp;fv=19&amp;is_app=0&amp;jk=ef545a0edc5d9931&amp;k=%BE%CD%D2%B5&amp;k0=%BE%CD%D2%B5&amp;kdi0=0&amp;luki=4&amp;mcpm=0&amp;n=10&amp;p=baidu&amp;q=haoshuduoduo_cpr&amp;rb=0&amp;rs=1&amp;seller_id=1&amp;sid=31995ddce5a54ef&amp;ssp2=1&amp;stid=9&amp;t=tpclicked3_hc&amp;td=1959052&amp;tu=u1959052&amp;u=http%3A%2F%2Fwww%2Eniubb%2Enet%2Farticle%2F581296%2D1%2F1%2F&amp;urlid=0" \t "_blank" </w:instrText>
      </w:r>
      <w:r>
        <w:fldChar w:fldCharType="separate"/>
      </w:r>
      <w:r>
        <w:rPr>
          <w:rFonts w:hint="eastAsia" w:ascii="仿宋" w:hAnsi="仿宋" w:eastAsia="仿宋" w:cs="仿宋_GB2312"/>
          <w:sz w:val="32"/>
          <w:szCs w:val="32"/>
        </w:rPr>
        <w:t>就业</w:t>
      </w:r>
      <w:r>
        <w:rPr>
          <w:rFonts w:hint="eastAsia" w:ascii="仿宋" w:hAnsi="仿宋" w:eastAsia="仿宋" w:cs="仿宋_GB2312"/>
          <w:sz w:val="32"/>
          <w:szCs w:val="32"/>
        </w:rPr>
        <w:fldChar w:fldCharType="end"/>
      </w:r>
      <w:r>
        <w:rPr>
          <w:rFonts w:hint="eastAsia" w:ascii="仿宋" w:hAnsi="仿宋" w:eastAsia="仿宋" w:cs="仿宋_GB2312"/>
          <w:sz w:val="32"/>
          <w:szCs w:val="32"/>
        </w:rPr>
        <w:t>观念，就要做到“三破三立”，即破除等、靠、看的被动就业观念，立敢想、敢干、敢试、敢闯的自主创业新观念；破除安于现状、得过且过、不思进取的旧观念，立有所作为、开拓进取、创业光荣的新观念；破除高学历者才能创业的旧观念，立</w:t>
      </w:r>
      <w:r>
        <w:fldChar w:fldCharType="begin"/>
      </w:r>
      <w:r>
        <w:instrText xml:space="preserve"> HYPERLINK "http://cpro.baidu.com/cpro/ui/uijs.php?adclass=0&amp;app_id=0&amp;c=news&amp;cf=1001&amp;ch=0&amp;di=128&amp;fv=19&amp;is_app=0&amp;jk=ef545a0edc5d9931&amp;k=%D6%D0%D6%B0&amp;k0=%D6%D0%D6%B0&amp;kdi0=0&amp;luki=9&amp;mcpm=0&amp;n=10&amp;p=baidu&amp;q=haoshuduoduo_cpr&amp;rb=0&amp;rs=1&amp;seller_id=1&amp;sid=31995ddce5a54ef&amp;ssp2=1&amp;stid=9&amp;t=tpclicked3_hc&amp;td=1959052&amp;tu=u1959052&amp;u=http%3A%2F%2Fwww%2Eniubb%2Enet%2Farticle%2F581296%2D1%2F1%2F&amp;urlid=0" \t "_blank" </w:instrText>
      </w:r>
      <w:r>
        <w:fldChar w:fldCharType="separate"/>
      </w:r>
      <w:r>
        <w:rPr>
          <w:rFonts w:hint="eastAsia" w:ascii="仿宋" w:hAnsi="仿宋" w:eastAsia="仿宋" w:cs="仿宋_GB2312"/>
          <w:sz w:val="32"/>
          <w:szCs w:val="32"/>
        </w:rPr>
        <w:t>中职</w:t>
      </w:r>
      <w:r>
        <w:rPr>
          <w:rFonts w:hint="eastAsia" w:ascii="仿宋" w:hAnsi="仿宋" w:eastAsia="仿宋" w:cs="仿宋_GB2312"/>
          <w:sz w:val="32"/>
          <w:szCs w:val="32"/>
        </w:rPr>
        <w:fldChar w:fldCharType="end"/>
      </w:r>
      <w:r>
        <w:rPr>
          <w:rFonts w:hint="eastAsia" w:ascii="仿宋" w:hAnsi="仿宋" w:eastAsia="仿宋" w:cs="仿宋_GB2312"/>
          <w:sz w:val="32"/>
          <w:szCs w:val="32"/>
        </w:rPr>
        <w:t>学生人人有能力创业的新观念。使中职学生牢固树立自主创业同样可以实现自身价值，创造辉煌人生的思想观念。</w:t>
      </w:r>
    </w:p>
    <w:p>
      <w:pPr>
        <w:spacing w:line="600" w:lineRule="exact"/>
        <w:rPr>
          <w:rFonts w:ascii="仿宋" w:hAnsi="仿宋" w:eastAsia="仿宋" w:cs="仿宋_GB2312"/>
          <w:b/>
          <w:sz w:val="36"/>
          <w:szCs w:val="36"/>
        </w:rPr>
      </w:pPr>
      <w:r>
        <w:rPr>
          <w:rFonts w:hint="eastAsia" w:ascii="仿宋" w:hAnsi="仿宋" w:eastAsia="仿宋" w:cs="仿宋_GB2312"/>
          <w:b/>
          <w:sz w:val="36"/>
          <w:szCs w:val="36"/>
        </w:rPr>
        <w:t>三、质量保障措施</w:t>
      </w:r>
    </w:p>
    <w:p>
      <w:pPr>
        <w:spacing w:line="6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3.1专业动态调整</w:t>
      </w:r>
    </w:p>
    <w:p>
      <w:pPr>
        <w:pStyle w:val="6"/>
        <w:spacing w:before="0" w:beforeAutospacing="0" w:after="0" w:afterAutospacing="0"/>
        <w:ind w:firstLine="640" w:firstLineChars="200"/>
        <w:rPr>
          <w:rFonts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仿宋_GB2312"/>
          <w:bCs/>
          <w:color w:val="000000" w:themeColor="text1"/>
          <w:sz w:val="32"/>
          <w:szCs w:val="32"/>
          <w14:textFill>
            <w14:solidFill>
              <w14:schemeClr w14:val="tx1"/>
            </w14:solidFill>
          </w14:textFill>
        </w:rPr>
        <w:t>我校共开设</w:t>
      </w:r>
      <w:r>
        <w:rPr>
          <w:rFonts w:hint="eastAsia" w:ascii="仿宋" w:hAnsi="仿宋" w:eastAsia="仿宋" w:cstheme="minorBidi"/>
          <w:color w:val="000000" w:themeColor="text1"/>
          <w:kern w:val="2"/>
          <w:sz w:val="32"/>
          <w:szCs w:val="32"/>
          <w14:textFill>
            <w14:solidFill>
              <w14:schemeClr w14:val="tx1"/>
            </w14:solidFill>
          </w14:textFill>
        </w:rPr>
        <w:t>电子技术应用、汽车运用与维修、会计电算化、铁路运输管理、石油天然气开采、航空服务、工程造价、计算机应用、电子商务等13个专业。在校学生专业统计如图10。</w:t>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图10：</w:t>
      </w:r>
    </w:p>
    <w:p>
      <w:pPr>
        <w:rPr>
          <w:color w:val="C00000"/>
        </w:rPr>
      </w:pPr>
      <w:r>
        <w:rPr>
          <w:color w:val="C00000"/>
        </w:rPr>
        <w:drawing>
          <wp:inline distT="0" distB="0" distL="114300" distR="114300">
            <wp:extent cx="5212080" cy="334899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12080" cy="3348990"/>
                    </a:xfrm>
                    <a:prstGeom prst="rect">
                      <a:avLst/>
                    </a:prstGeom>
                    <a:noFill/>
                    <a:ln>
                      <a:noFill/>
                    </a:ln>
                  </pic:spPr>
                </pic:pic>
              </a:graphicData>
            </a:graphic>
          </wp:inline>
        </w:drawing>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学校每两年开展一次专业调研，调研对象涵盖了企业、家长、学生。通过调研优化专业结构，建立专业设置动态调整机制，做到了专业设置与区域社会经济发展需求</w:t>
      </w:r>
      <w:r>
        <w:rPr>
          <w:rFonts w:ascii="仿宋" w:hAnsi="仿宋" w:eastAsia="仿宋"/>
          <w:color w:val="000000" w:themeColor="text1"/>
          <w:sz w:val="32"/>
          <w:szCs w:val="32"/>
          <w14:textFill>
            <w14:solidFill>
              <w14:schemeClr w14:val="tx1"/>
            </w14:solidFill>
          </w14:textFill>
        </w:rPr>
        <w:t>契合</w:t>
      </w:r>
      <w:r>
        <w:rPr>
          <w:rFonts w:hint="eastAsia" w:ascii="仿宋" w:hAnsi="仿宋" w:eastAsia="仿宋"/>
          <w:color w:val="000000" w:themeColor="text1"/>
          <w:sz w:val="32"/>
          <w:szCs w:val="32"/>
          <w14:textFill>
            <w14:solidFill>
              <w14:schemeClr w14:val="tx1"/>
            </w14:solidFill>
          </w14:textFill>
        </w:rPr>
        <w:t>，课程内容与岗位知识</w:t>
      </w:r>
      <w:r>
        <w:rPr>
          <w:rFonts w:ascii="仿宋" w:hAnsi="仿宋" w:eastAsia="仿宋"/>
          <w:color w:val="000000" w:themeColor="text1"/>
          <w:sz w:val="32"/>
          <w:szCs w:val="32"/>
          <w14:textFill>
            <w14:solidFill>
              <w14:schemeClr w14:val="tx1"/>
            </w14:solidFill>
          </w14:textFill>
        </w:rPr>
        <w:t>契合</w:t>
      </w:r>
      <w:r>
        <w:rPr>
          <w:rFonts w:hint="eastAsia" w:ascii="仿宋" w:hAnsi="仿宋" w:eastAsia="仿宋"/>
          <w:color w:val="000000" w:themeColor="text1"/>
          <w:sz w:val="32"/>
          <w:szCs w:val="32"/>
          <w14:textFill>
            <w14:solidFill>
              <w14:schemeClr w14:val="tx1"/>
            </w14:solidFill>
          </w14:textFill>
        </w:rPr>
        <w:t>，提高了专业与当地产业的吻合度及贡献率。</w:t>
      </w:r>
    </w:p>
    <w:p>
      <w:pPr>
        <w:ind w:firstLine="640" w:firstLineChars="200"/>
        <w:rPr>
          <w:color w:val="000000" w:themeColor="text1"/>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按照教育</w:t>
      </w:r>
      <w:r>
        <w:rPr>
          <w:rFonts w:hint="eastAsia" w:ascii="仿宋" w:hAnsi="仿宋" w:eastAsia="仿宋" w:cs="仿宋_GB2312"/>
          <w:color w:val="000000" w:themeColor="text1"/>
          <w:sz w:val="32"/>
          <w:szCs w:val="32"/>
          <w14:textFill>
            <w14:solidFill>
              <w14:schemeClr w14:val="tx1"/>
            </w14:solidFill>
          </w14:textFill>
        </w:rPr>
        <w:t>与产业、学校与企业、专业设置与职业岗位相对接的原则进行专业动态调整，主动适应区域产业结构优化升级要求，重点建设面向本地重点产业、优势产业和战略性新兴产业的电子技术应用、汽车运用与维修、会计电算化等品牌专业。学校与成都信息工程大学、四川广播电视大学、西华师范大学、成都工业学院建立了汽车检测与维修技术、应用电子技术等与我校中专专业相关的大专衔接工作。学校制定了校本教材开发、应用和更新制度，能根据产业、职业和岗位需求，积极开发校本教材，努力将三创教育和技能大赛的成果融入校本教材，先后开发校本教材3本。</w:t>
      </w:r>
    </w:p>
    <w:p>
      <w:pPr>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3.2教育教学改革</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学校制定了</w:t>
      </w:r>
      <w:r>
        <w:rPr>
          <w:rFonts w:hint="eastAsia" w:ascii="仿宋" w:hAnsi="仿宋" w:eastAsia="仿宋" w:cs="仿宋_GB2312"/>
          <w:color w:val="000000" w:themeColor="text1"/>
          <w:sz w:val="32"/>
          <w:szCs w:val="32"/>
          <w14:textFill>
            <w14:solidFill>
              <w14:schemeClr w14:val="tx1"/>
            </w14:solidFill>
          </w14:textFill>
        </w:rPr>
        <w:t>实施性人才培养方案并进行滚动修订，根据国家和省指导性人才培养方案以及调研成果，构建以能力为本位、以职业实践为主线、以项目课程为主体的模块化专业课程体系；合理确定公共基础课和专业技能课学时比例，根据行业产业发展适时修订，并有严格的审批手续，选用规定教材。大力加强专业建设，不断提升专业建设水平，主干专业实现了教学、实训一体化，学生职业道德、职业精神培养与技术技能高度融合。</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积极创新专业课教学模式形成了以项目教学、案例教学等为主体的七种教学模式。广大教师普遍采用项目教学、案例教学、场景教学和模拟教学等多种教学方式进行教学，注意专业教学过程与生产过程的对接，注重教学过程实践性、开放性和职业性。根据专业特点，积极开展现代学徒制试点，进行小班化教学试点；探索和实施小组学习、合作学习和自主学习；因材施教，推行分层教学、走班制、导师制等教学改革，建立了困难学生学习困难帮助机制等。</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学校为汽修、会计、电子商务等专业购买了虚拟仿真实务训练系统，并建立了新能源汽车及工业机器人实训基地，有效地降低了实训成本，提高了实训效果。教师根据教学要求自主开发了一部分教学资源，分为公共基础课和专业技能课，内容包括PPT教案、实训项目库、教学案例、考试试题题库。</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教学质量保证制度》、《教学督导组加强教学质量监控与评价制定》、《教师教学质量考核与聘任办法》《学生评教制度》等一系列质量保证措施与制度的完善，为教学质量提供了有力的保障，通过建立校企合作长效机制，引进高素质高技能</w:t>
      </w:r>
      <w:r>
        <w:rPr>
          <w:rFonts w:ascii="仿宋" w:hAnsi="仿宋" w:eastAsia="仿宋"/>
          <w:color w:val="000000" w:themeColor="text1"/>
          <w:sz w:val="32"/>
          <w:szCs w:val="32"/>
          <w14:textFill>
            <w14:solidFill>
              <w14:schemeClr w14:val="tx1"/>
            </w14:solidFill>
          </w14:textFill>
        </w:rPr>
        <w:t>人才</w:t>
      </w:r>
      <w:r>
        <w:rPr>
          <w:rFonts w:hint="eastAsia" w:ascii="仿宋" w:hAnsi="仿宋" w:eastAsia="仿宋"/>
          <w:color w:val="000000" w:themeColor="text1"/>
          <w:sz w:val="32"/>
          <w:szCs w:val="32"/>
          <w14:textFill>
            <w14:solidFill>
              <w14:schemeClr w14:val="tx1"/>
            </w14:solidFill>
          </w14:textFill>
        </w:rPr>
        <w:t>，定期开展教师专业技术培训，实施订单式培养模式，加强教学改革，优化专业课程体系，改善实训设备，建立教学过程监控体系。</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校为达到较好的技能教学效果，制定了教师出勤、教学评价、教学巡查、各学期实训项目教学计划，实训项目教学设计、实训实验教学检测等一系列监控体系，从教师的教态、教案、作业批改、学生对教师教学评议，实训教学安全，实训教学产品等全方位建设，狠抓落实。</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2019年5月我校组织第十五届校园技能大赛，11个大项16个小项总计参赛人数728名选手参赛，共计274名选手获奖，一等奖63名，二等奖101名，三等奖110名，团体奖10名，个人获奖率约37.6%。</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2019年12月我校参加南充市第八届学生技能大赛参赛的7个大项，项目获奖率71.4％。并获得团体一等奖、三等奖。（见表7）</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表7：</w:t>
      </w:r>
    </w:p>
    <w:p>
      <w:pPr>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2019年南充市第八届学生技能大赛我校获奖情况</w:t>
      </w:r>
    </w:p>
    <w:tbl>
      <w:tblPr>
        <w:tblStyle w:val="7"/>
        <w:tblW w:w="86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3004"/>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32" w:type="dxa"/>
          </w:tcPr>
          <w:p>
            <w:pPr>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参赛项目</w:t>
            </w:r>
          </w:p>
        </w:tc>
        <w:tc>
          <w:tcPr>
            <w:tcW w:w="3004" w:type="dxa"/>
          </w:tcPr>
          <w:p>
            <w:pPr>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获奖学生</w:t>
            </w:r>
          </w:p>
        </w:tc>
        <w:tc>
          <w:tcPr>
            <w:tcW w:w="1953" w:type="dxa"/>
          </w:tcPr>
          <w:p>
            <w:pPr>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732" w:type="dxa"/>
            <w:vMerge w:val="restart"/>
          </w:tcPr>
          <w:p>
            <w:pPr>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单片机控制装置安装与调试</w:t>
            </w:r>
          </w:p>
        </w:tc>
        <w:tc>
          <w:tcPr>
            <w:tcW w:w="3004" w:type="dxa"/>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徐洪平</w:t>
            </w:r>
          </w:p>
        </w:tc>
        <w:tc>
          <w:tcPr>
            <w:tcW w:w="1953" w:type="dxa"/>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732" w:type="dxa"/>
            <w:vMerge w:val="continue"/>
          </w:tcPr>
          <w:p>
            <w:pPr>
              <w:jc w:val="center"/>
              <w:rPr>
                <w:rFonts w:ascii="仿宋" w:hAnsi="仿宋" w:eastAsia="仿宋"/>
                <w:b/>
                <w:color w:val="000000" w:themeColor="text1"/>
                <w:sz w:val="28"/>
                <w:szCs w:val="28"/>
                <w14:textFill>
                  <w14:solidFill>
                    <w14:schemeClr w14:val="tx1"/>
                  </w14:solidFill>
                </w14:textFill>
              </w:rPr>
            </w:pPr>
          </w:p>
        </w:tc>
        <w:tc>
          <w:tcPr>
            <w:tcW w:w="3004" w:type="dxa"/>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陈小平</w:t>
            </w:r>
          </w:p>
        </w:tc>
        <w:tc>
          <w:tcPr>
            <w:tcW w:w="1953" w:type="dxa"/>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732" w:type="dxa"/>
          </w:tcPr>
          <w:p>
            <w:pPr>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电子产品装调与应用</w:t>
            </w:r>
          </w:p>
        </w:tc>
        <w:tc>
          <w:tcPr>
            <w:tcW w:w="3004" w:type="dxa"/>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吴佳霖</w:t>
            </w:r>
          </w:p>
        </w:tc>
        <w:tc>
          <w:tcPr>
            <w:tcW w:w="1953" w:type="dxa"/>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732" w:type="dxa"/>
            <w:vMerge w:val="restart"/>
          </w:tcPr>
          <w:p>
            <w:pPr>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网页制作</w:t>
            </w:r>
          </w:p>
        </w:tc>
        <w:tc>
          <w:tcPr>
            <w:tcW w:w="3004" w:type="dxa"/>
          </w:tcPr>
          <w:p>
            <w:pPr>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张文星</w:t>
            </w:r>
          </w:p>
        </w:tc>
        <w:tc>
          <w:tcPr>
            <w:tcW w:w="1953" w:type="dxa"/>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732" w:type="dxa"/>
            <w:vMerge w:val="continue"/>
          </w:tcPr>
          <w:p>
            <w:pPr>
              <w:jc w:val="center"/>
              <w:rPr>
                <w:rFonts w:ascii="仿宋" w:hAnsi="仿宋" w:eastAsia="仿宋"/>
                <w:b/>
                <w:color w:val="000000" w:themeColor="text1"/>
                <w:sz w:val="28"/>
                <w:szCs w:val="28"/>
                <w14:textFill>
                  <w14:solidFill>
                    <w14:schemeClr w14:val="tx1"/>
                  </w14:solidFill>
                </w14:textFill>
              </w:rPr>
            </w:pPr>
          </w:p>
        </w:tc>
        <w:tc>
          <w:tcPr>
            <w:tcW w:w="3004" w:type="dxa"/>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郑慧</w:t>
            </w:r>
          </w:p>
        </w:tc>
        <w:tc>
          <w:tcPr>
            <w:tcW w:w="1953" w:type="dxa"/>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732" w:type="dxa"/>
            <w:vMerge w:val="continue"/>
          </w:tcPr>
          <w:p>
            <w:pPr>
              <w:jc w:val="center"/>
              <w:rPr>
                <w:rFonts w:ascii="仿宋" w:hAnsi="仿宋" w:eastAsia="仿宋"/>
                <w:b/>
                <w:color w:val="000000" w:themeColor="text1"/>
                <w:sz w:val="28"/>
                <w:szCs w:val="28"/>
                <w14:textFill>
                  <w14:solidFill>
                    <w14:schemeClr w14:val="tx1"/>
                  </w14:solidFill>
                </w14:textFill>
              </w:rPr>
            </w:pPr>
          </w:p>
        </w:tc>
        <w:tc>
          <w:tcPr>
            <w:tcW w:w="3004" w:type="dxa"/>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袁思洁</w:t>
            </w:r>
          </w:p>
        </w:tc>
        <w:tc>
          <w:tcPr>
            <w:tcW w:w="1953" w:type="dxa"/>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732" w:type="dxa"/>
          </w:tcPr>
          <w:p>
            <w:pPr>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办公自动化</w:t>
            </w:r>
          </w:p>
        </w:tc>
        <w:tc>
          <w:tcPr>
            <w:tcW w:w="3004" w:type="dxa"/>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邓云心、邓杰</w:t>
            </w:r>
          </w:p>
        </w:tc>
        <w:tc>
          <w:tcPr>
            <w:tcW w:w="1953" w:type="dxa"/>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732" w:type="dxa"/>
          </w:tcPr>
          <w:p>
            <w:pPr>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平面设计</w:t>
            </w:r>
          </w:p>
        </w:tc>
        <w:tc>
          <w:tcPr>
            <w:tcW w:w="3004" w:type="dxa"/>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杨松柏</w:t>
            </w:r>
          </w:p>
        </w:tc>
        <w:tc>
          <w:tcPr>
            <w:tcW w:w="1953" w:type="dxa"/>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732" w:type="dxa"/>
            <w:vMerge w:val="restart"/>
          </w:tcPr>
          <w:p>
            <w:pPr>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团体奖</w:t>
            </w:r>
          </w:p>
          <w:p>
            <w:pPr>
              <w:jc w:val="center"/>
              <w:rPr>
                <w:rFonts w:ascii="仿宋" w:hAnsi="仿宋" w:eastAsia="仿宋"/>
                <w:color w:val="000000" w:themeColor="text1"/>
                <w:sz w:val="28"/>
                <w:szCs w:val="28"/>
                <w14:textFill>
                  <w14:solidFill>
                    <w14:schemeClr w14:val="tx1"/>
                  </w14:solidFill>
                </w14:textFill>
              </w:rPr>
            </w:pPr>
          </w:p>
        </w:tc>
        <w:tc>
          <w:tcPr>
            <w:tcW w:w="3004" w:type="dxa"/>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计算机应用</w:t>
            </w:r>
          </w:p>
        </w:tc>
        <w:tc>
          <w:tcPr>
            <w:tcW w:w="1953" w:type="dxa"/>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732" w:type="dxa"/>
            <w:vMerge w:val="continue"/>
          </w:tcPr>
          <w:p>
            <w:pPr>
              <w:jc w:val="center"/>
              <w:rPr>
                <w:color w:val="000000" w:themeColor="text1"/>
                <w14:textFill>
                  <w14:solidFill>
                    <w14:schemeClr w14:val="tx1"/>
                  </w14:solidFill>
                </w14:textFill>
              </w:rPr>
            </w:pPr>
          </w:p>
        </w:tc>
        <w:tc>
          <w:tcPr>
            <w:tcW w:w="3004" w:type="dxa"/>
          </w:tcPr>
          <w:p>
            <w:pPr>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电子技术应用</w:t>
            </w:r>
          </w:p>
        </w:tc>
        <w:tc>
          <w:tcPr>
            <w:tcW w:w="1953" w:type="dxa"/>
          </w:tcPr>
          <w:p>
            <w:pPr>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三等奖</w:t>
            </w:r>
          </w:p>
        </w:tc>
      </w:tr>
    </w:tbl>
    <w:p>
      <w:pPr>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3.3教师培养培训</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教师队伍是提高学校办学水平和提升人才培养质量的关键</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加强教师队伍建设是中等职业教育发展最重要的基础工程。2019年，我校采用“内引外培”的模式培养教师，通过请进来、走出去、全方位、多渠道地引进教师，2019年送培30人次，其中6位教师参加了华东师范大学、北京理工大学等师资培训，24人参加了网上研修，4位省级名师工作室成员（庞子靓、吴从均、杨俊梅、杨大平）参加了名师工作室培训，有效推动了“双师型”教师队伍建设，对我校教育教学质量的提高起到了至关重要的作用。</w:t>
      </w:r>
    </w:p>
    <w:p>
      <w:pPr>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3.4规范管理情况</w:t>
      </w:r>
    </w:p>
    <w:p>
      <w:pPr>
        <w:ind w:firstLine="640" w:firstLineChars="200"/>
        <w:rPr>
          <w:rFonts w:ascii="仿宋" w:hAnsi="仿宋" w:eastAsia="仿宋" w:cs="仿宋_GB2312"/>
          <w:color w:val="000000" w:themeColor="text1"/>
          <w:kern w:val="0"/>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教学管理学校制定长期、短期</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"https://baike.baidu.com/item/%E6%95%99%E5%AD%A6%E5%B7%A5%E4%BD%9C%E8%AE%A1%E5%88%92" \t "https://baike.baidu.com/item/%E6%95%99%E5%AD%A6%E7%AE%A1%E7%90%86/_blank" </w:instrText>
      </w:r>
      <w:r>
        <w:rPr>
          <w:color w:val="000000" w:themeColor="text1"/>
          <w14:textFill>
            <w14:solidFill>
              <w14:schemeClr w14:val="tx1"/>
            </w14:solidFill>
          </w14:textFill>
        </w:rPr>
        <w:fldChar w:fldCharType="separate"/>
      </w:r>
      <w:r>
        <w:rPr>
          <w:rStyle w:val="10"/>
          <w:rFonts w:hint="eastAsia" w:ascii="仿宋" w:hAnsi="仿宋" w:eastAsia="仿宋" w:cs="仿宋_GB2312"/>
          <w:color w:val="000000" w:themeColor="text1"/>
          <w:sz w:val="32"/>
          <w:szCs w:val="32"/>
          <w:shd w:val="clear" w:color="auto" w:fill="FFFFFF"/>
          <w14:textFill>
            <w14:solidFill>
              <w14:schemeClr w14:val="tx1"/>
            </w14:solidFill>
          </w14:textFill>
        </w:rPr>
        <w:t>教学工作计划</w:t>
      </w:r>
      <w:r>
        <w:rPr>
          <w:rStyle w:val="10"/>
          <w:rFonts w:hint="eastAsia" w:ascii="仿宋" w:hAnsi="仿宋" w:eastAsia="仿宋" w:cs="仿宋_GB2312"/>
          <w:color w:val="000000" w:themeColor="text1"/>
          <w:sz w:val="32"/>
          <w:szCs w:val="32"/>
          <w:shd w:val="clear" w:color="auto" w:fill="FFFFFF"/>
          <w14:textFill>
            <w14:solidFill>
              <w14:schemeClr w14:val="tx1"/>
            </w14:solidFill>
          </w14:textFill>
        </w:rPr>
        <w:fldChar w:fldCharType="end"/>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明确教学工作目标，保证学校教学工作有计划、有步骤、有条不紊地运转。设立有教学管理机构和教学管理质量评价系统，明确职责范围，发挥管理机构及人员的作用，加强教师的教学质量和学生的学习质量管理。组织开展教学研究活动，促进教学工作改革。深入教学第一线，加强检查指导，及时总结经验，提高教学质量，加强教务行政管理工作。</w:t>
      </w:r>
    </w:p>
    <w:p>
      <w:pPr>
        <w:ind w:firstLine="640" w:firstLineChars="200"/>
        <w:rPr>
          <w:rFonts w:ascii="仿宋" w:hAnsi="仿宋" w:eastAsia="仿宋" w:cs="仿宋_GB2312"/>
          <w:color w:val="000000" w:themeColor="text1"/>
          <w:kern w:val="0"/>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校务管理</w:t>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办学思想端正，全面贯彻国家的教育方针，认真实施素质教育。树立正确的教育观和质量观，面向全体学生，促进学生全面发展。坚持依法治校，遵守教育法律法规，不乱办学，不乱收费，不举办“校中校”。建立健全学校各项规章制度，实行校长负责制，完善全员聘任制、岗位责任制。坚持民主管理学校，推行校务公开。</w:t>
      </w:r>
    </w:p>
    <w:p>
      <w:pPr>
        <w:ind w:firstLine="640" w:firstLineChars="200"/>
        <w:rPr>
          <w:rFonts w:ascii="仿宋" w:hAnsi="仿宋" w:eastAsia="仿宋" w:cs="仿宋_GB2312"/>
          <w:color w:val="000000" w:themeColor="text1"/>
          <w:kern w:val="0"/>
          <w:sz w:val="32"/>
          <w:szCs w:val="32"/>
          <w:shd w:val="clear" w:color="auto" w:fill="FFFFFF"/>
          <w14:textFill>
            <w14:solidFill>
              <w14:schemeClr w14:val="tx1"/>
            </w14:solidFill>
          </w14:textFill>
        </w:rPr>
      </w:pPr>
      <w:r>
        <w:rPr>
          <w:rFonts w:ascii="仿宋" w:hAnsi="仿宋" w:eastAsia="仿宋" w:cs="仿宋_GB2312"/>
          <w:bCs/>
          <w:color w:val="000000" w:themeColor="text1"/>
          <w:sz w:val="32"/>
          <w:szCs w:val="32"/>
          <w:shd w:val="clear" w:color="auto" w:fill="FFFFFF"/>
          <w14:textFill>
            <w14:solidFill>
              <w14:schemeClr w14:val="tx1"/>
            </w14:solidFill>
          </w14:textFill>
        </w:rPr>
        <w:t>教师管理</w:t>
      </w:r>
      <w:r>
        <w:rPr>
          <w:rFonts w:hint="eastAsia" w:ascii="仿宋" w:hAnsi="仿宋" w:eastAsia="仿宋" w:cs="仿宋_GB2312"/>
          <w:bCs/>
          <w:color w:val="000000" w:themeColor="text1"/>
          <w:kern w:val="0"/>
          <w:sz w:val="32"/>
          <w:szCs w:val="32"/>
          <w:shd w:val="clear" w:color="auto" w:fill="FFFFFF"/>
          <w14:textFill>
            <w14:solidFill>
              <w14:schemeClr w14:val="tx1"/>
            </w14:solidFill>
          </w14:textFill>
        </w:rPr>
        <w:t>组织教师进修，开展校本培训和教研活动，建立集体备课制度。</w:t>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加强师德师风建设，教育教师遵章守纪，爱岗敬业，教书育人，为人师表；认真备课、上课、布置批改作业、辅导学生和组织课外活动；尊重学生人格，不歧视、侮辱、体罚和变相体罚学生，维护学生的合法权益；不搞有偿家教。</w:t>
      </w:r>
    </w:p>
    <w:p>
      <w:pPr>
        <w:ind w:firstLine="640" w:firstLineChars="200"/>
        <w:rPr>
          <w:rFonts w:ascii="仿宋" w:hAnsi="仿宋" w:eastAsia="仿宋" w:cs="仿宋_GB2312"/>
          <w:color w:val="000000" w:themeColor="text1"/>
          <w:kern w:val="0"/>
          <w:sz w:val="32"/>
          <w:szCs w:val="32"/>
          <w:shd w:val="clear" w:color="auto" w:fill="FFFFFF"/>
          <w14:textFill>
            <w14:solidFill>
              <w14:schemeClr w14:val="tx1"/>
            </w14:solidFill>
          </w14:textFill>
        </w:rPr>
      </w:pPr>
      <w:r>
        <w:rPr>
          <w:rFonts w:ascii="仿宋" w:hAnsi="仿宋" w:eastAsia="仿宋" w:cs="仿宋_GB2312"/>
          <w:bCs/>
          <w:color w:val="000000" w:themeColor="text1"/>
          <w:sz w:val="32"/>
          <w:szCs w:val="32"/>
          <w:shd w:val="clear" w:color="auto" w:fill="FFFFFF"/>
          <w14:textFill>
            <w14:solidFill>
              <w14:schemeClr w14:val="tx1"/>
            </w14:solidFill>
          </w14:textFill>
        </w:rPr>
        <w:t>学生管理</w:t>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德育为首。开展民族精神教育、理想信念教育、公民道德教育、法律纪律教育、心理健康教育。规范学生行为。教育学生自觉遵守《中等职业学校学生守则》和《中等职业学校日常行为规范》，培养学生良好的行为习惯。坚持全员育人，学校有健全的党团和共青团组织，有班主任管理制度，有与家庭、社会联系与合作的制度。</w:t>
      </w:r>
    </w:p>
    <w:p>
      <w:pPr>
        <w:ind w:firstLine="640" w:firstLineChars="200"/>
        <w:rPr>
          <w:rFonts w:ascii="仿宋" w:hAnsi="仿宋" w:eastAsia="仿宋" w:cs="仿宋_GB2312"/>
          <w:color w:val="000000" w:themeColor="text1"/>
          <w:kern w:val="0"/>
          <w:sz w:val="32"/>
          <w:szCs w:val="32"/>
          <w:shd w:val="clear" w:color="auto" w:fill="FFFFFF"/>
          <w14:textFill>
            <w14:solidFill>
              <w14:schemeClr w14:val="tx1"/>
            </w14:solidFill>
          </w14:textFill>
        </w:rPr>
      </w:pPr>
      <w:r>
        <w:rPr>
          <w:rFonts w:ascii="仿宋" w:hAnsi="仿宋" w:eastAsia="仿宋" w:cs="仿宋_GB2312"/>
          <w:bCs/>
          <w:color w:val="000000" w:themeColor="text1"/>
          <w:sz w:val="32"/>
          <w:szCs w:val="32"/>
          <w:shd w:val="clear" w:color="auto" w:fill="FFFFFF"/>
          <w14:textFill>
            <w14:solidFill>
              <w14:schemeClr w14:val="tx1"/>
            </w14:solidFill>
          </w14:textFill>
        </w:rPr>
        <w:t>教学科研管理</w:t>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严格按规定开齐开足课程，创造条件开设地方课程和校本课程。有秩序安排教育教学工作，不随意停课，不组织学生参加商业性的庆典、演出活动。上好体育课、艺术课，保证学生每天有1小时的体育活动时间。引导学生自主、合作、探究学习，注重培养学生的独立思考能力、创新能力和实践能力，发展学生的个性特长。建立科学的学校评价制度，评价学生，立足于促进学生的全面发展。健全校本教研制度，研究教育教学中的重点、难点问题，促进教育质量的提高。</w:t>
      </w:r>
    </w:p>
    <w:p>
      <w:pPr>
        <w:ind w:firstLine="640" w:firstLineChars="200"/>
        <w:rPr>
          <w:rFonts w:ascii="仿宋" w:hAnsi="仿宋" w:eastAsia="仿宋" w:cs="仿宋_GB2312"/>
          <w:color w:val="000000" w:themeColor="text1"/>
          <w:kern w:val="0"/>
          <w:sz w:val="32"/>
          <w:szCs w:val="32"/>
          <w:shd w:val="clear" w:color="auto" w:fill="FFFFFF"/>
          <w14:textFill>
            <w14:solidFill>
              <w14:schemeClr w14:val="tx1"/>
            </w14:solidFill>
          </w14:textFill>
        </w:rPr>
      </w:pPr>
      <w:r>
        <w:rPr>
          <w:rFonts w:ascii="仿宋" w:hAnsi="仿宋" w:eastAsia="仿宋" w:cs="仿宋_GB2312"/>
          <w:bCs/>
          <w:color w:val="000000" w:themeColor="text1"/>
          <w:sz w:val="32"/>
          <w:szCs w:val="32"/>
          <w:shd w:val="clear" w:color="auto" w:fill="FFFFFF"/>
          <w14:textFill>
            <w14:solidFill>
              <w14:schemeClr w14:val="tx1"/>
            </w14:solidFill>
          </w14:textFill>
        </w:rPr>
        <w:t>安全管理</w:t>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建立健全安全管理制度，对学校安全保卫人员定期培训学习，及时整治学校各项安全隐患，预防发生事故发生。建立校园突发事件预警机制，落实各项应急措施。加强安全教育，增强师生的安全防范意识和自护自救能力。定期对校舍、设施进行安全检查，防火、防盗、防触电、防滋扰、防中毒、防意外伤害等措施落实到位。加强门卫管理，禁止无关人员和校外机动车辆进入校园。组织学生户外活动有安全应急措施，并安排专人负责。</w:t>
      </w:r>
    </w:p>
    <w:p>
      <w:pPr>
        <w:ind w:firstLine="640" w:firstLineChars="200"/>
        <w:rPr>
          <w:rFonts w:ascii="仿宋" w:hAnsi="仿宋" w:eastAsia="仿宋" w:cs="仿宋_GB2312"/>
          <w:bCs/>
          <w:color w:val="000000" w:themeColor="text1"/>
          <w:kern w:val="0"/>
          <w:sz w:val="32"/>
          <w:szCs w:val="32"/>
          <w:shd w:val="clear" w:color="auto" w:fill="FFFFFF"/>
          <w14:textFill>
            <w14:solidFill>
              <w14:schemeClr w14:val="tx1"/>
            </w14:solidFill>
          </w14:textFill>
        </w:rPr>
      </w:pPr>
      <w:r>
        <w:rPr>
          <w:rFonts w:ascii="仿宋" w:hAnsi="仿宋" w:eastAsia="仿宋" w:cs="仿宋_GB2312"/>
          <w:bCs/>
          <w:color w:val="000000" w:themeColor="text1"/>
          <w:sz w:val="32"/>
          <w:szCs w:val="32"/>
          <w:shd w:val="clear" w:color="auto" w:fill="FFFFFF"/>
          <w14:textFill>
            <w14:solidFill>
              <w14:schemeClr w14:val="tx1"/>
            </w14:solidFill>
          </w14:textFill>
        </w:rPr>
        <w:t>校园管理</w:t>
      </w:r>
      <w:r>
        <w:rPr>
          <w:rFonts w:hint="eastAsia" w:ascii="仿宋" w:hAnsi="仿宋" w:eastAsia="仿宋" w:cs="仿宋_GB2312"/>
          <w:bCs/>
          <w:color w:val="000000" w:themeColor="text1"/>
          <w:kern w:val="0"/>
          <w:sz w:val="32"/>
          <w:szCs w:val="32"/>
          <w:shd w:val="clear" w:color="auto" w:fill="FFFFFF"/>
          <w14:textFill>
            <w14:solidFill>
              <w14:schemeClr w14:val="tx1"/>
            </w14:solidFill>
          </w14:textFill>
        </w:rPr>
        <w:t>建设平安、文明、和谐校园。优化校园环境，力求净化、绿化、美化、人文化。校内车辆停放整齐，地面无杂物，墙面无污损。环境布置富有文化内涵，体现教育功能。</w:t>
      </w:r>
    </w:p>
    <w:p>
      <w:pPr>
        <w:ind w:firstLine="640" w:firstLineChars="200"/>
        <w:rPr>
          <w:rFonts w:ascii="仿宋" w:hAnsi="仿宋" w:eastAsia="仿宋" w:cs="仿宋_GB2312"/>
          <w:color w:val="000000" w:themeColor="text1"/>
          <w:kern w:val="0"/>
          <w:sz w:val="32"/>
          <w:szCs w:val="32"/>
          <w:shd w:val="clear" w:color="auto" w:fill="FFFFFF"/>
          <w14:textFill>
            <w14:solidFill>
              <w14:schemeClr w14:val="tx1"/>
            </w14:solidFill>
          </w14:textFill>
        </w:rPr>
      </w:pPr>
      <w:r>
        <w:rPr>
          <w:rFonts w:ascii="仿宋" w:hAnsi="仿宋" w:eastAsia="仿宋" w:cs="仿宋_GB2312"/>
          <w:bCs/>
          <w:color w:val="000000" w:themeColor="text1"/>
          <w:sz w:val="32"/>
          <w:szCs w:val="32"/>
          <w:shd w:val="clear" w:color="auto" w:fill="FFFFFF"/>
          <w14:textFill>
            <w14:solidFill>
              <w14:schemeClr w14:val="tx1"/>
            </w14:solidFill>
          </w14:textFill>
        </w:rPr>
        <w:t>后勤管理</w:t>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坚持服务育人、管理育人。制订食堂卫生制度和采购验收制度，确保食品卫生安全；建立学生宿舍值日制度，保证整洁卫生；建立宿舍管理制度，坚持夜间值班、巡查；建立发生群体性传染病、食物中毒应急制度，及时采取隔离、治疗措施。建立校舍定期检查、维修制度，及时消除危房。图书、实验仪器、音体美器材、计算机设备等分类登记造册，定期清查、检修、维护。坚持勤俭办学，反对铺张浪费。</w:t>
      </w:r>
    </w:p>
    <w:p>
      <w:pPr>
        <w:ind w:firstLine="640" w:firstLineChars="200"/>
        <w:jc w:val="left"/>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 xml:space="preserve"> 档</w:t>
      </w:r>
      <w:r>
        <w:rPr>
          <w:rFonts w:ascii="仿宋" w:hAnsi="仿宋" w:eastAsia="仿宋" w:cs="仿宋_GB2312"/>
          <w:bCs/>
          <w:color w:val="000000" w:themeColor="text1"/>
          <w:sz w:val="32"/>
          <w:szCs w:val="32"/>
          <w:shd w:val="clear" w:color="auto" w:fill="FFFFFF"/>
          <w14:textFill>
            <w14:solidFill>
              <w14:schemeClr w14:val="tx1"/>
            </w14:solidFill>
          </w14:textFill>
        </w:rPr>
        <w:t>案管理建有档案资料室，健全档案管理制度。建立学校行政、教育教学、教师业务、学生学籍、师生健康、人事、财务、固定资产、荣誉实物等各类档案，保管好、使用好档案资料</w:t>
      </w:r>
      <w:bookmarkStart w:id="0" w:name="9"/>
      <w:bookmarkEnd w:id="0"/>
      <w:bookmarkStart w:id="1" w:name="sub4037599_9"/>
      <w:bookmarkEnd w:id="1"/>
      <w:bookmarkStart w:id="2" w:name="附件：中小学校园管理等十项基本管理制度"/>
      <w:bookmarkEnd w:id="2"/>
      <w:r>
        <w:rPr>
          <w:rFonts w:ascii="仿宋" w:hAnsi="仿宋" w:eastAsia="仿宋" w:cs="仿宋_GB2312"/>
          <w:bCs/>
          <w:color w:val="000000" w:themeColor="text1"/>
          <w:sz w:val="32"/>
          <w:szCs w:val="32"/>
          <w:shd w:val="clear" w:color="auto" w:fill="FFFFFF"/>
          <w14:textFill>
            <w14:solidFill>
              <w14:schemeClr w14:val="tx1"/>
            </w14:solidFill>
          </w14:textFill>
        </w:rPr>
        <w:t>，财务管理贯彻执行中国共产党和国家的财政经济方针、</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"https://baike.baidu.com/item/%E6%94%BF%E7%AD%96/5575422" \t "https://baike.baidu.com/item/%E5%AD%A6%E6%A0%A1%E8%B4%A2%E5%8A%A1%E7%AE%A1%E7%90%86/_blank" </w:instrText>
      </w:r>
      <w:r>
        <w:rPr>
          <w:color w:val="000000" w:themeColor="text1"/>
          <w14:textFill>
            <w14:solidFill>
              <w14:schemeClr w14:val="tx1"/>
            </w14:solidFill>
          </w14:textFill>
        </w:rPr>
        <w:fldChar w:fldCharType="separate"/>
      </w:r>
      <w:r>
        <w:rPr>
          <w:rStyle w:val="10"/>
          <w:rFonts w:ascii="仿宋" w:hAnsi="仿宋" w:eastAsia="仿宋" w:cs="仿宋_GB2312"/>
          <w:bCs/>
          <w:color w:val="000000" w:themeColor="text1"/>
          <w:sz w:val="32"/>
          <w:szCs w:val="32"/>
          <w:shd w:val="clear" w:color="auto" w:fill="FFFFFF"/>
          <w14:textFill>
            <w14:solidFill>
              <w14:schemeClr w14:val="tx1"/>
            </w14:solidFill>
          </w14:textFill>
        </w:rPr>
        <w:t>政策</w:t>
      </w:r>
      <w:r>
        <w:rPr>
          <w:rStyle w:val="10"/>
          <w:rFonts w:ascii="仿宋" w:hAnsi="仿宋" w:eastAsia="仿宋" w:cs="仿宋_GB2312"/>
          <w:bCs/>
          <w:color w:val="000000" w:themeColor="text1"/>
          <w:sz w:val="32"/>
          <w:szCs w:val="32"/>
          <w:shd w:val="clear" w:color="auto" w:fill="FFFFFF"/>
          <w14:textFill>
            <w14:solidFill>
              <w14:schemeClr w14:val="tx1"/>
            </w14:solidFill>
          </w14:textFill>
        </w:rPr>
        <w:fldChar w:fldCharType="end"/>
      </w:r>
      <w:r>
        <w:rPr>
          <w:rFonts w:ascii="仿宋" w:hAnsi="仿宋" w:eastAsia="仿宋" w:cs="仿宋_GB2312"/>
          <w:bCs/>
          <w:color w:val="000000" w:themeColor="text1"/>
          <w:sz w:val="32"/>
          <w:szCs w:val="32"/>
          <w:shd w:val="clear" w:color="auto" w:fill="FFFFFF"/>
          <w14:textFill>
            <w14:solidFill>
              <w14:schemeClr w14:val="tx1"/>
            </w14:solidFill>
          </w14:textFill>
        </w:rPr>
        <w:t>、法令，维护财政经济纪律，保护</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"https://baike.baidu.com/item/%E5%85%AC%E5%85%B1%E8%B4%A2%E4%BA%A7" \t "https://baike.baidu.com/item/%E5%AD%A6%E6%A0%A1%E8%B4%A2%E5%8A%A1%E7%AE%A1%E7%90%86/_blank" </w:instrText>
      </w:r>
      <w:r>
        <w:rPr>
          <w:color w:val="000000" w:themeColor="text1"/>
          <w14:textFill>
            <w14:solidFill>
              <w14:schemeClr w14:val="tx1"/>
            </w14:solidFill>
          </w14:textFill>
        </w:rPr>
        <w:fldChar w:fldCharType="separate"/>
      </w:r>
      <w:r>
        <w:rPr>
          <w:rStyle w:val="10"/>
          <w:rFonts w:ascii="仿宋" w:hAnsi="仿宋" w:eastAsia="仿宋" w:cs="仿宋_GB2312"/>
          <w:bCs/>
          <w:color w:val="000000" w:themeColor="text1"/>
          <w:sz w:val="32"/>
          <w:szCs w:val="32"/>
          <w:shd w:val="clear" w:color="auto" w:fill="FFFFFF"/>
          <w14:textFill>
            <w14:solidFill>
              <w14:schemeClr w14:val="tx1"/>
            </w14:solidFill>
          </w14:textFill>
        </w:rPr>
        <w:t>公共财产</w:t>
      </w:r>
      <w:r>
        <w:rPr>
          <w:rStyle w:val="10"/>
          <w:rFonts w:ascii="仿宋" w:hAnsi="仿宋" w:eastAsia="仿宋" w:cs="仿宋_GB2312"/>
          <w:bCs/>
          <w:color w:val="000000" w:themeColor="text1"/>
          <w:sz w:val="32"/>
          <w:szCs w:val="32"/>
          <w:shd w:val="clear" w:color="auto" w:fill="FFFFFF"/>
          <w14:textFill>
            <w14:solidFill>
              <w14:schemeClr w14:val="tx1"/>
            </w14:solidFill>
          </w14:textFill>
        </w:rPr>
        <w:fldChar w:fldCharType="end"/>
      </w:r>
      <w:r>
        <w:rPr>
          <w:rFonts w:ascii="仿宋" w:hAnsi="仿宋" w:eastAsia="仿宋" w:cs="仿宋_GB2312"/>
          <w:bCs/>
          <w:color w:val="000000" w:themeColor="text1"/>
          <w:sz w:val="32"/>
          <w:szCs w:val="32"/>
          <w:shd w:val="clear" w:color="auto" w:fill="FFFFFF"/>
          <w14:textFill>
            <w14:solidFill>
              <w14:schemeClr w14:val="tx1"/>
            </w14:solidFill>
          </w14:textFill>
        </w:rPr>
        <w:t>的安全。根据上级规定和学校具体情况，编制学校年度预算或计划，年终作出</w:t>
      </w:r>
      <w:r>
        <w:rPr>
          <w:rFonts w:hint="eastAsia" w:ascii="仿宋" w:hAnsi="仿宋" w:eastAsia="仿宋" w:cs="仿宋_GB2312"/>
          <w:bCs/>
          <w:color w:val="000000" w:themeColor="text1"/>
          <w:sz w:val="32"/>
          <w:szCs w:val="32"/>
          <w:shd w:val="clear" w:color="auto" w:fill="FFFFFF"/>
          <w14:textFill>
            <w14:solidFill>
              <w14:schemeClr w14:val="tx1"/>
            </w14:solidFill>
          </w14:textFill>
        </w:rPr>
        <w:t>结</w:t>
      </w:r>
      <w:r>
        <w:rPr>
          <w:rFonts w:ascii="仿宋" w:hAnsi="仿宋" w:eastAsia="仿宋" w:cs="仿宋_GB2312"/>
          <w:bCs/>
          <w:color w:val="000000" w:themeColor="text1"/>
          <w:sz w:val="32"/>
          <w:szCs w:val="32"/>
          <w:shd w:val="clear" w:color="auto" w:fill="FFFFFF"/>
          <w14:textFill>
            <w14:solidFill>
              <w14:schemeClr w14:val="tx1"/>
            </w14:solidFill>
          </w14:textFill>
        </w:rPr>
        <w:t>算。拟定学校的财务规章制度</w:t>
      </w:r>
      <w:r>
        <w:rPr>
          <w:rFonts w:hint="eastAsia" w:ascii="仿宋" w:hAnsi="仿宋" w:eastAsia="仿宋" w:cs="仿宋_GB2312"/>
          <w:bCs/>
          <w:color w:val="000000" w:themeColor="text1"/>
          <w:sz w:val="32"/>
          <w:szCs w:val="32"/>
          <w:shd w:val="clear" w:color="auto" w:fill="FFFFFF"/>
          <w14:textFill>
            <w14:solidFill>
              <w14:schemeClr w14:val="tx1"/>
            </w14:solidFill>
          </w14:textFill>
        </w:rPr>
        <w:t>，</w:t>
      </w:r>
      <w:r>
        <w:rPr>
          <w:rFonts w:ascii="仿宋" w:hAnsi="仿宋" w:eastAsia="仿宋" w:cs="仿宋_GB2312"/>
          <w:bCs/>
          <w:color w:val="000000" w:themeColor="text1"/>
          <w:sz w:val="32"/>
          <w:szCs w:val="32"/>
          <w:shd w:val="clear" w:color="auto" w:fill="FFFFFF"/>
          <w14:textFill>
            <w14:solidFill>
              <w14:schemeClr w14:val="tx1"/>
            </w14:solidFill>
          </w14:textFill>
        </w:rPr>
        <w:t>监督、检查学校各项资金、财产的管理和计划执行情况。</w:t>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建立健全学校财产管理制度，民主理财，财务公开。</w:t>
      </w:r>
      <w:r>
        <w:rPr>
          <w:rFonts w:ascii="仿宋" w:hAnsi="仿宋" w:eastAsia="仿宋" w:cs="仿宋_GB2312"/>
          <w:bCs/>
          <w:color w:val="000000" w:themeColor="text1"/>
          <w:sz w:val="32"/>
          <w:szCs w:val="32"/>
          <w:shd w:val="clear" w:color="auto" w:fill="FFFFFF"/>
          <w14:textFill>
            <w14:solidFill>
              <w14:schemeClr w14:val="tx1"/>
            </w14:solidFill>
          </w14:textFill>
        </w:rPr>
        <w:t>做好记帐、算帐、</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"https://baike.baidu.com/item/%E6%8A%A5%E5%B8%90" \t "https://baike.baidu.com/item/%E5%AD%A6%E6%A0%A1%E8%B4%A2%E5%8A%A1%E7%AE%A1%E7%90%86/_blank" </w:instrText>
      </w:r>
      <w:r>
        <w:rPr>
          <w:color w:val="000000" w:themeColor="text1"/>
          <w14:textFill>
            <w14:solidFill>
              <w14:schemeClr w14:val="tx1"/>
            </w14:solidFill>
          </w14:textFill>
        </w:rPr>
        <w:fldChar w:fldCharType="separate"/>
      </w:r>
      <w:r>
        <w:rPr>
          <w:rStyle w:val="10"/>
          <w:rFonts w:ascii="仿宋" w:hAnsi="仿宋" w:eastAsia="仿宋" w:cs="仿宋_GB2312"/>
          <w:bCs/>
          <w:color w:val="000000" w:themeColor="text1"/>
          <w:sz w:val="32"/>
          <w:szCs w:val="32"/>
          <w:shd w:val="clear" w:color="auto" w:fill="FFFFFF"/>
          <w14:textFill>
            <w14:solidFill>
              <w14:schemeClr w14:val="tx1"/>
            </w14:solidFill>
          </w14:textFill>
        </w:rPr>
        <w:t>报帐</w:t>
      </w:r>
      <w:r>
        <w:rPr>
          <w:rStyle w:val="10"/>
          <w:rFonts w:ascii="仿宋" w:hAnsi="仿宋" w:eastAsia="仿宋" w:cs="仿宋_GB2312"/>
          <w:bCs/>
          <w:color w:val="000000" w:themeColor="text1"/>
          <w:sz w:val="32"/>
          <w:szCs w:val="32"/>
          <w:shd w:val="clear" w:color="auto" w:fill="FFFFFF"/>
          <w14:textFill>
            <w14:solidFill>
              <w14:schemeClr w14:val="tx1"/>
            </w14:solidFill>
          </w14:textFill>
        </w:rPr>
        <w:fldChar w:fldCharType="end"/>
      </w:r>
      <w:r>
        <w:rPr>
          <w:rFonts w:ascii="仿宋" w:hAnsi="仿宋" w:eastAsia="仿宋" w:cs="仿宋_GB2312"/>
          <w:bCs/>
          <w:color w:val="000000" w:themeColor="text1"/>
          <w:sz w:val="32"/>
          <w:szCs w:val="32"/>
          <w:shd w:val="clear" w:color="auto" w:fill="FFFFFF"/>
          <w14:textFill>
            <w14:solidFill>
              <w14:schemeClr w14:val="tx1"/>
            </w14:solidFill>
          </w14:textFill>
        </w:rPr>
        <w:t>工作，调查研究、分析、检查学校资金使用效果。</w:t>
      </w:r>
    </w:p>
    <w:p>
      <w:pPr>
        <w:ind w:firstLine="643" w:firstLineChars="200"/>
        <w:jc w:val="left"/>
        <w:rPr>
          <w:rFonts w:ascii="仿宋" w:hAnsi="仿宋" w:eastAsia="仿宋" w:cs="仿宋_GB2312"/>
          <w:b/>
          <w:color w:val="000000" w:themeColor="text1"/>
          <w:kern w:val="0"/>
          <w:sz w:val="32"/>
          <w:szCs w:val="32"/>
          <w:shd w:val="clear" w:color="auto" w:fill="FFFFFF"/>
          <w14:textFill>
            <w14:solidFill>
              <w14:schemeClr w14:val="tx1"/>
            </w14:solidFill>
          </w14:textFill>
        </w:rPr>
      </w:pPr>
      <w:r>
        <w:rPr>
          <w:rFonts w:hint="eastAsia" w:ascii="仿宋" w:hAnsi="仿宋" w:eastAsia="仿宋" w:cs="仿宋_GB2312"/>
          <w:b/>
          <w:color w:val="000000" w:themeColor="text1"/>
          <w:kern w:val="0"/>
          <w:sz w:val="32"/>
          <w:szCs w:val="32"/>
          <w:shd w:val="clear" w:color="auto" w:fill="FFFFFF"/>
          <w14:textFill>
            <w14:solidFill>
              <w14:schemeClr w14:val="tx1"/>
            </w14:solidFill>
          </w14:textFill>
        </w:rPr>
        <w:t>3.5德育工作情况</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德育是学校实施素质教育的重要组成部分。它贯穿于学校教育</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"http://www.gkstk.com/article/jiaoxuefansi.htm" \o "教学" </w:instrText>
      </w:r>
      <w:r>
        <w:rPr>
          <w:color w:val="000000" w:themeColor="text1"/>
          <w14:textFill>
            <w14:solidFill>
              <w14:schemeClr w14:val="tx1"/>
            </w14:solidFill>
          </w14:textFill>
        </w:rPr>
        <w:fldChar w:fldCharType="separate"/>
      </w:r>
      <w:r>
        <w:rPr>
          <w:rStyle w:val="10"/>
          <w:rFonts w:hint="eastAsia" w:ascii="仿宋" w:hAnsi="仿宋" w:eastAsia="仿宋" w:cs="仿宋_GB2312"/>
          <w:color w:val="000000" w:themeColor="text1"/>
          <w:sz w:val="32"/>
          <w:szCs w:val="32"/>
          <w14:textFill>
            <w14:solidFill>
              <w14:schemeClr w14:val="tx1"/>
            </w14:solidFill>
          </w14:textFill>
        </w:rPr>
        <w:t>教学</w:t>
      </w:r>
      <w:r>
        <w:rPr>
          <w:rStyle w:val="10"/>
          <w:rFonts w:hint="eastAsia" w:ascii="仿宋" w:hAnsi="仿宋" w:eastAsia="仿宋" w:cs="仿宋_GB2312"/>
          <w:color w:val="000000" w:themeColor="text1"/>
          <w:sz w:val="32"/>
          <w:szCs w:val="32"/>
          <w14:textFill>
            <w14:solidFill>
              <w14:schemeClr w14:val="tx1"/>
            </w14:solidFill>
          </w14:textFill>
        </w:rPr>
        <w:fldChar w:fldCharType="end"/>
      </w:r>
      <w:r>
        <w:rPr>
          <w:rFonts w:hint="eastAsia" w:ascii="仿宋" w:hAnsi="仿宋" w:eastAsia="仿宋" w:cs="仿宋_GB2312"/>
          <w:color w:val="000000" w:themeColor="text1"/>
          <w:sz w:val="32"/>
          <w:szCs w:val="32"/>
          <w14:textFill>
            <w14:solidFill>
              <w14:schemeClr w14:val="tx1"/>
            </w14:solidFill>
          </w14:textFill>
        </w:rPr>
        <w:t>的全过程和学生日常生活的各个方面，渗透在智育、体育、美育和劳动教育中。</w:t>
      </w:r>
    </w:p>
    <w:p>
      <w:pPr>
        <w:pStyle w:val="6"/>
        <w:spacing w:before="0" w:beforeAutospacing="0" w:after="210" w:afterAutospacing="0" w:line="315" w:lineRule="atLeas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加强理论学习和德育实践研究，组织师德理论学习。本年度，我们利用教师政治学习的机会，组织教师学习了《教师法》、《未成年人保护法》和市、区教育主管部门有关师德教育和建设的文件资料等，以教育行评为契机，有效地加强了师德建设。开展德育科研活动。我们以新课程理念努力转变班主任的角色，并通过小课题研究、理论学习、案例撰写等形式开展德育科研活动。每位教师都结合自己的教育教学实践，撰写学习心得体会，提高教师的德育理论水平。</w:t>
      </w:r>
    </w:p>
    <w:p>
      <w:pPr>
        <w:widowControl/>
        <w:spacing w:line="300" w:lineRule="atLeast"/>
        <w:ind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开展多种形式的主题教育活动，爱国主义教育，抓好每周一的升旗仪式和国旗下讲话，激发学生爱国热情，树立正确的国家意识，培养爱国主义意识。</w:t>
      </w:r>
      <w:r>
        <w:rPr>
          <w:rFonts w:hint="eastAsia" w:ascii="仿宋" w:hAnsi="仿宋" w:eastAsia="仿宋" w:cs="宋体"/>
          <w:color w:val="000000" w:themeColor="text1"/>
          <w:kern w:val="0"/>
          <w:sz w:val="28"/>
          <w:szCs w:val="28"/>
          <w14:textFill>
            <w14:solidFill>
              <w14:schemeClr w14:val="tx1"/>
            </w14:solidFill>
          </w14:textFill>
        </w:rPr>
        <w:t>学校把德育课课程建设与</w:t>
      </w:r>
      <w:r>
        <w:rPr>
          <w:rFonts w:hint="eastAsia" w:ascii="仿宋" w:hAnsi="仿宋" w:eastAsia="仿宋" w:cs="宋体"/>
          <w:color w:val="000000" w:themeColor="text1"/>
          <w:kern w:val="0"/>
          <w:sz w:val="32"/>
          <w:szCs w:val="32"/>
          <w14:textFill>
            <w14:solidFill>
              <w14:schemeClr w14:val="tx1"/>
            </w14:solidFill>
          </w14:textFill>
        </w:rPr>
        <w:t>学生常规管理紧密结合，以德育实践活动为载体，强化制度管理，一直以来，我校德育工作遵循“以人为本、立足发展、贴近实际、注重实效”的教育理念，强化制度管理，努力把德育工作做“实”、做“活”、做“亮”，使我校德育工作焕发出生命的活力。　　</w:t>
      </w:r>
      <w:r>
        <w:rPr>
          <w:rFonts w:hint="eastAsia" w:ascii="宋体" w:hAnsi="宋体" w:eastAsia="仿宋" w:cs="宋体"/>
          <w:color w:val="000000" w:themeColor="text1"/>
          <w:kern w:val="0"/>
          <w:sz w:val="32"/>
          <w:szCs w:val="32"/>
          <w14:textFill>
            <w14:solidFill>
              <w14:schemeClr w14:val="tx1"/>
            </w14:solidFill>
          </w14:textFill>
        </w:rPr>
        <w:t>   </w:t>
      </w:r>
    </w:p>
    <w:p>
      <w:pPr>
        <w:widowControl/>
        <w:spacing w:line="300" w:lineRule="atLeast"/>
        <w:ind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工作中，我校以“依靠人、为了人、服务人”为基本出发点，尊重学生、关爱学生、服务学生，发现和培养学生的兴趣和特长，塑造学生大爱、和谐的心灵。以尊重学生的个性特点为指导思想，遵循青少年个性发展的特点，着眼于学生养成良好的思想品德和行为习惯。用个性鲜明的“向不文明行为说再见”“绿化教室”“周一主题班会”“主题黑板报”等活动组成了“一班一思路”特色文化，激发和引导着学生们自我发展。</w:t>
      </w:r>
    </w:p>
    <w:p>
      <w:pPr>
        <w:widowControl/>
        <w:spacing w:line="300" w:lineRule="atLeast"/>
        <w:ind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学校积极开展各种社团活动，文体活动，开展校园歌手大赛，国庆晚会，彝族年一家亲活动，12.9红歌比赛，校运动会等活动引领学生思想情操。校外开展物品捐赠、义务劳动、帮助老人、扶贫献爱心、参加防疾病防艾滋公益汇演、为贫困留守儿童做义工等，通过这些活动的开展，使学生们思想政治素质总体上向积极健康的方向发展，有较高的政治参与意识，把各种党团活动搞得有声有色。</w:t>
      </w:r>
      <w:r>
        <w:rPr>
          <w:rFonts w:hint="eastAsia" w:ascii="宋体" w:hAnsi="宋体" w:eastAsia="仿宋" w:cs="宋体"/>
          <w:color w:val="000000" w:themeColor="text1"/>
          <w:kern w:val="0"/>
          <w:sz w:val="32"/>
          <w:szCs w:val="32"/>
          <w14:textFill>
            <w14:solidFill>
              <w14:schemeClr w14:val="tx1"/>
            </w14:solidFill>
          </w14:textFill>
        </w:rPr>
        <w:t> </w:t>
      </w:r>
    </w:p>
    <w:p>
      <w:pPr>
        <w:pStyle w:val="6"/>
        <w:spacing w:before="0" w:beforeAutospacing="0" w:after="252" w:afterAutospacing="0" w:line="315" w:lineRule="atLeas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学校认真开展了关爱“留守学生”教育工作。切实加强家校联系为真正提高家校联系质量，本学期制定了家长学校各种制度并开展活动，还对班主任或其他任课老师提出一定的要求，使学校、家庭、社会联系更为紧密，构建立体的教育网络。</w:t>
      </w:r>
    </w:p>
    <w:p>
      <w:pPr>
        <w:pStyle w:val="6"/>
        <w:spacing w:before="0" w:beforeAutospacing="0" w:after="252" w:afterAutospacing="0" w:line="315" w:lineRule="atLeast"/>
        <w:ind w:firstLine="643" w:firstLineChars="200"/>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3.6党建情况</w:t>
      </w:r>
    </w:p>
    <w:p>
      <w:pPr>
        <w:ind w:left="319" w:leftChars="152"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2019年，学校党建工作以新时代党的建设要求为主线，以党的政治建设为统领，以“十九大精神”学习教育为重点，全面发挥校党委“推动发展，服务师生、凝聚人心，促进和谐”作用，为学校又好又快发展提供坚强有力的思想和组织保障。</w:t>
      </w:r>
    </w:p>
    <w:p>
      <w:pPr>
        <w:ind w:left="319" w:leftChars="152"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夯实党的基础组织建设，增强基层党支部战斗堡垒作用。完成了2个党小组重组、换届工作。发展了4名预备党员，确定了3名发展对象，完成了2名党员的组织关系转出工作。开展“标准化规范化党支部”工作，全面提升党支部的规范化建设水平，基层党组织的凝聚力和战斗力进一步加强。根据《党费收缴工作细则（试行）》要求，精细核定党费标准，严格执行党费缴纳制度，进一步强化党员身份意识、责任意识。</w:t>
      </w:r>
    </w:p>
    <w:p>
      <w:pPr>
        <w:ind w:left="319" w:leftChars="152"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坚持和完善“三会一课”制度，通过精心设计，做到“三会一课”时间、人员、内容、效果四到位。打造“程序规范、主题明显、载体灵活、效果明显”的主题党日活动，有效统一党员的思想和行动。始终把中心组学习作为一项重要的政治任务紧抓在手，坚持系统学习，做到全面理解，切实统一思想和行动，努力推动理论学习成果向实际工作有效转化。以“思想认识到位、会前准备到位、开展批评到位、整改落实到位”为标准，严格落实民主生活会制度。</w:t>
      </w:r>
    </w:p>
    <w:p>
      <w:pPr>
        <w:ind w:left="319" w:leftChars="152"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加强十九大精神、全国教育大会精神的学习宣传，推进“两学一做”“大学习、大讨论、大调研”的常态化、制度化。举办“党的基础知识竞赛”、“互联网+党课”“党的知识竞赛”等活动，全校党员干部的思想和行动高度统一，十九大精神、全国教育大会精神的理论知识有效转化为新时代学校改革发展的助力。继续推进“我是党员-我在行动”活动，邀请不同领域的专家学者，聚焦当下时事热点，对广大党员进行深入系统的解读和宣讲，进一步推动理论联系实际落地生根。</w:t>
      </w:r>
    </w:p>
    <w:p>
      <w:pPr>
        <w:ind w:left="319" w:leftChars="152"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探求思想政治工作抓手，将思想政治工作与学校教育教学管理工作融会贯通，做到日常，做到经常。搭建社会主义核心价值观培育团队，启动以明师德、铸师魂、树政德、谋发展的师生社会主义核心价值观培育工程。将思想政治工作与学校教育教学管理工作融会贯通，做到日常，做到经常。全力提升党员示范意识，创新方式，丰富载体。积极开展“共产党员先锋行动”，全面增强党员同志的特殊身份意识，立足本职，当先锋、做模范。组织党员同志参观张澜故居、罗瑞卿故居等红色革命基地，实地了解革命年代的光辉历程，广大党员的责任感和使命感显著增强。</w:t>
      </w:r>
    </w:p>
    <w:p>
      <w:pPr>
        <w:ind w:left="319" w:leftChars="152"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充分发挥群团作用，开展丰富多彩活动，促进师生身心健康、快乐。发挥工会服务教职员工功能。关心职工生活解决员工后顾之忧，每月一次的“教职工集体生日”，增进了职工之间的友谊和情感；组建声乐、舞蹈、书法、跆拳道等“工会兴趣小组”丰富广大教职工的业余文化生活。</w:t>
      </w:r>
    </w:p>
    <w:p>
      <w:pPr>
        <w:ind w:left="319" w:leftChars="152"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坚持党建带团建。指导团委创新工作方式、丰富活动内容，全面提升管理品质，完善团委、学生会干部管理体制机制，全面提升学生素质能力，助力学校发展；组织开展各类实践、艺术活动，丰富学生校园文化生活，增强学校凝聚力，学生归属感；组建10个学生自治社团，给学生搭建展示、成长的平台，培育学生兴趣爱好，增长自我教育能力，同时彰显办学特色，助力人才培养质量提升。</w:t>
      </w:r>
    </w:p>
    <w:p>
      <w:pPr>
        <w:ind w:left="319" w:leftChars="152"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完善制度，规范程序，时刻绷紧反腐倡廉之弦。依规完成正风肃纪监督工作。做到自查自纠深入彻底，专项检查全面覆盖，整改落实认真到位。定期进行廉政谈话，确保党员干部时刻绷紧反腐倡廉之弦。严格执行“三重一大”集体决策制度，力求用制度将风险防控于未然。</w:t>
      </w:r>
    </w:p>
    <w:p>
      <w:pPr>
        <w:ind w:left="319" w:leftChars="152"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制定《南充电子工业学校加强和改进意识形态工作的实施意见》，梳理意识形态建设责任清单，强化意识形态工作监督机制。</w:t>
      </w:r>
    </w:p>
    <w:p>
      <w:pPr>
        <w:rPr>
          <w:rFonts w:ascii="仿宋" w:hAnsi="仿宋" w:eastAsia="仿宋"/>
        </w:rPr>
      </w:pPr>
    </w:p>
    <w:p>
      <w:pPr>
        <w:pStyle w:val="6"/>
        <w:spacing w:before="0" w:beforeAutospacing="0" w:after="252" w:afterAutospacing="0" w:line="315" w:lineRule="atLeast"/>
        <w:rPr>
          <w:rFonts w:ascii="仿宋" w:hAnsi="仿宋" w:eastAsia="仿宋" w:cs="仿宋_GB2312"/>
          <w:b/>
          <w:bCs/>
          <w:color w:val="000000" w:themeColor="text1"/>
          <w:sz w:val="36"/>
          <w:szCs w:val="36"/>
          <w14:textFill>
            <w14:solidFill>
              <w14:schemeClr w14:val="tx1"/>
            </w14:solidFill>
          </w14:textFill>
        </w:rPr>
      </w:pPr>
      <w:r>
        <w:rPr>
          <w:rFonts w:hint="eastAsia" w:ascii="仿宋" w:hAnsi="仿宋" w:eastAsia="仿宋" w:cs="仿宋_GB2312"/>
          <w:b/>
          <w:bCs/>
          <w:color w:val="000000" w:themeColor="text1"/>
          <w:sz w:val="36"/>
          <w:szCs w:val="36"/>
          <w14:textFill>
            <w14:solidFill>
              <w14:schemeClr w14:val="tx1"/>
            </w14:solidFill>
          </w14:textFill>
        </w:rPr>
        <w:t>四、校企合作</w:t>
      </w:r>
    </w:p>
    <w:p>
      <w:pPr>
        <w:ind w:firstLine="643" w:firstLineChars="200"/>
        <w:rPr>
          <w:rFonts w:ascii="仿宋" w:hAnsi="仿宋" w:eastAsia="仿宋" w:cs="仿宋_GB2312"/>
          <w:b/>
          <w:sz w:val="32"/>
          <w:szCs w:val="32"/>
        </w:rPr>
      </w:pPr>
      <w:r>
        <w:rPr>
          <w:rFonts w:hint="eastAsia" w:ascii="仿宋" w:hAnsi="仿宋" w:eastAsia="仿宋" w:cs="仿宋_GB2312"/>
          <w:b/>
          <w:sz w:val="32"/>
          <w:szCs w:val="32"/>
        </w:rPr>
        <w:t>4.1校企合作开展情况和效果</w:t>
      </w:r>
    </w:p>
    <w:p>
      <w:pPr>
        <w:ind w:firstLine="620" w:firstLineChars="200"/>
        <w:rPr>
          <w:rFonts w:ascii="仿宋" w:hAnsi="仿宋" w:eastAsia="仿宋" w:cs="仿宋"/>
          <w:color w:val="000000" w:themeColor="text1"/>
          <w:sz w:val="31"/>
          <w14:textFill>
            <w14:solidFill>
              <w14:schemeClr w14:val="tx1"/>
            </w14:solidFill>
          </w14:textFill>
        </w:rPr>
      </w:pPr>
      <w:r>
        <w:rPr>
          <w:rFonts w:hint="eastAsia" w:ascii="仿宋" w:hAnsi="仿宋" w:eastAsia="仿宋" w:cs="仿宋"/>
          <w:color w:val="000000" w:themeColor="text1"/>
          <w:sz w:val="31"/>
          <w14:textFill>
            <w14:solidFill>
              <w14:schemeClr w14:val="tx1"/>
            </w14:solidFill>
          </w14:textFill>
        </w:rPr>
        <w:t>学校坚持校企合作、工学结合的基本办学制度，充分发挥校企双元办学主体作业，通过“引企入校，订单开班培养、现代学徒制”等途径和方式，促进行业企业参与人才培养全过程，为学校招生、实习、就业提供良好的保障，学校与吉利四川商用车有限公司、上海大众汽车、成都吉利领克汽车有限公司、上汽通用汽车有限公司、中石化江苏油田矿业开发有限公司、广东高速公路有限公司、南昌铁路局、华科电子有限公司等十多家有实力的企业签订了校企合作协议，学校开展招生订单办学，目前吉利集团、上汽通用汽车已成立订单班。</w:t>
      </w:r>
    </w:p>
    <w:p>
      <w:pPr>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4.2学生实习情况</w:t>
      </w:r>
    </w:p>
    <w:p>
      <w:pPr>
        <w:ind w:firstLine="775" w:firstLineChars="250"/>
        <w:rPr>
          <w:rFonts w:ascii="仿宋" w:hAnsi="仿宋" w:eastAsia="仿宋" w:cs="仿宋"/>
          <w:color w:val="000000" w:themeColor="text1"/>
          <w:sz w:val="31"/>
          <w14:textFill>
            <w14:solidFill>
              <w14:schemeClr w14:val="tx1"/>
            </w14:solidFill>
          </w14:textFill>
        </w:rPr>
      </w:pPr>
      <w:r>
        <w:rPr>
          <w:rFonts w:hint="eastAsia" w:ascii="仿宋" w:hAnsi="仿宋" w:eastAsia="仿宋" w:cs="仿宋"/>
          <w:color w:val="000000" w:themeColor="text1"/>
          <w:sz w:val="31"/>
          <w14:textFill>
            <w14:solidFill>
              <w14:schemeClr w14:val="tx1"/>
            </w14:solidFill>
          </w14:textFill>
        </w:rPr>
        <w:t>学校严格执行按照教育部相关文件规定及管理办法安置学生就业。成立学生就业领导小组、招就处、教务处、学保处为小组成员。</w:t>
      </w:r>
    </w:p>
    <w:p>
      <w:pPr>
        <w:ind w:firstLine="620" w:firstLineChars="200"/>
        <w:rPr>
          <w:rFonts w:ascii="仿宋" w:hAnsi="仿宋" w:eastAsia="仿宋" w:cs="仿宋"/>
          <w:color w:val="000000" w:themeColor="text1"/>
          <w:sz w:val="31"/>
          <w14:textFill>
            <w14:solidFill>
              <w14:schemeClr w14:val="tx1"/>
            </w14:solidFill>
          </w14:textFill>
        </w:rPr>
      </w:pPr>
      <w:r>
        <w:rPr>
          <w:rFonts w:hint="eastAsia" w:ascii="仿宋" w:hAnsi="仿宋" w:eastAsia="仿宋" w:cs="仿宋"/>
          <w:color w:val="000000" w:themeColor="text1"/>
          <w:sz w:val="31"/>
          <w14:textFill>
            <w14:solidFill>
              <w14:schemeClr w14:val="tx1"/>
            </w14:solidFill>
          </w14:textFill>
        </w:rPr>
        <w:t>2019年实习就业人数500人，直接就业人数483人，就业率96.6%，对口率98.9%。城区就业人数369人，镇区就业120人，乡村就业11人，所有学校安置的顶岗实习学生均签订校、企、生、（家长）三方顶岗实习协议，明确实习期间的各项全责及要求，维护学校及学生利益。通过双向选择招聘就业单位吉利四川商用车有限公司、上汽通用汽车有限公司、南昌铁路局、广西南宁铁路、上海大众股份有限公司、广东高速公路有限公司、华科电子有限公司、中石化江苏油田矿业开发有限公司等，这些单位实习工资平均入3000元/月收以上，工作时间8小时，周末若需加班，按照国家规定执行。经调查这些单位对我校实习学生满意度达到95%以上。另外：会计专业部分学生赴大管家会计事务所实习就业，航空服务专业赴成都双流机场、上海浦东机场、昆明机场、实习就业，服装专业学生赴申州针织有限公司实习就业。通过单位了解到这些学生都有着吃苦耐劳、工作责任心强的态度，深受企业好评。他们积极热情的投入到培训中学。快速转换身份，融入企业，工作业绩突出。</w:t>
      </w:r>
    </w:p>
    <w:p>
      <w:pPr>
        <w:pStyle w:val="6"/>
        <w:spacing w:before="0" w:beforeAutospacing="0" w:after="252" w:afterAutospacing="0"/>
        <w:ind w:left="420" w:firstLine="321" w:firstLineChars="100"/>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4.3集团化办学情况</w:t>
      </w:r>
    </w:p>
    <w:p>
      <w:pPr>
        <w:pStyle w:val="6"/>
        <w:spacing w:before="0" w:beforeAutospacing="0" w:after="252" w:afterAutospacing="0"/>
        <w:ind w:firstLine="640" w:firstLineChars="200"/>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2011年4月，南充大成职业教育集团成立，所辖南充电子工业学校及眉山电子职业技术学校两个校区。</w:t>
      </w:r>
      <w:r>
        <w:rPr>
          <w:rFonts w:hint="eastAsia" w:ascii="仿宋" w:hAnsi="仿宋" w:eastAsia="仿宋" w:cs="仿宋_GB2312"/>
          <w:color w:val="000000" w:themeColor="text1"/>
          <w:sz w:val="32"/>
          <w:szCs w:val="32"/>
          <w:shd w:val="clear" w:color="auto" w:fill="FFFFFF"/>
          <w14:textFill>
            <w14:solidFill>
              <w14:schemeClr w14:val="tx1"/>
            </w14:solidFill>
          </w14:textFill>
        </w:rPr>
        <w:t>实行集团领导下的校长负责制，从教育理念、</w:t>
      </w:r>
      <w:r>
        <w:fldChar w:fldCharType="begin"/>
      </w:r>
      <w:r>
        <w:instrText xml:space="preserve"> HYPERLINK "http://www.baike.com/sowiki/%E5%AD%A6%E6%A0%A1%E7%AE%A1%E7%90%86?prd=content_doc_search" \t "http://www.baike.com/wiki/_blank" \o "学校管理" </w:instrText>
      </w:r>
      <w:r>
        <w:fldChar w:fldCharType="separate"/>
      </w:r>
      <w:r>
        <w:rPr>
          <w:rStyle w:val="10"/>
          <w:rFonts w:hint="eastAsia" w:ascii="仿宋" w:hAnsi="仿宋" w:eastAsia="仿宋" w:cs="仿宋_GB2312"/>
          <w:color w:val="000000" w:themeColor="text1"/>
          <w:sz w:val="32"/>
          <w:szCs w:val="32"/>
          <w:shd w:val="clear" w:color="auto" w:fill="FFFFFF"/>
          <w14:textFill>
            <w14:solidFill>
              <w14:schemeClr w14:val="tx1"/>
            </w14:solidFill>
          </w14:textFill>
        </w:rPr>
        <w:t>学校管理</w:t>
      </w:r>
      <w:r>
        <w:rPr>
          <w:rStyle w:val="10"/>
          <w:rFonts w:hint="eastAsia" w:ascii="仿宋" w:hAnsi="仿宋" w:eastAsia="仿宋" w:cs="仿宋_GB2312"/>
          <w:color w:val="000000" w:themeColor="text1"/>
          <w:sz w:val="32"/>
          <w:szCs w:val="32"/>
          <w:shd w:val="clear" w:color="auto" w:fill="FFFFFF"/>
          <w14:textFill>
            <w14:solidFill>
              <w14:schemeClr w14:val="tx1"/>
            </w14:solidFill>
          </w14:textFill>
        </w:rPr>
        <w:fldChar w:fldCharType="end"/>
      </w:r>
      <w:r>
        <w:rPr>
          <w:rFonts w:hint="eastAsia" w:ascii="仿宋" w:hAnsi="仿宋" w:eastAsia="仿宋" w:cs="仿宋_GB2312"/>
          <w:color w:val="000000" w:themeColor="text1"/>
          <w:sz w:val="32"/>
          <w:szCs w:val="32"/>
          <w:shd w:val="clear" w:color="auto" w:fill="FFFFFF"/>
          <w14:textFill>
            <w14:solidFill>
              <w14:schemeClr w14:val="tx1"/>
            </w14:solidFill>
          </w14:textFill>
        </w:rPr>
        <w:t>、</w:t>
      </w:r>
      <w:r>
        <w:fldChar w:fldCharType="begin"/>
      </w:r>
      <w:r>
        <w:instrText xml:space="preserve"> HYPERLINK "http://www.baike.com/sowiki/%E6%95%99%E8%82%B2%E7%A7%91%E7%A0%94?prd=content_doc_search" \t "http://www.baike.com/wiki/_blank" \o "教育科研" </w:instrText>
      </w:r>
      <w:r>
        <w:fldChar w:fldCharType="separate"/>
      </w:r>
      <w:r>
        <w:rPr>
          <w:rStyle w:val="10"/>
          <w:rFonts w:hint="eastAsia" w:ascii="仿宋" w:hAnsi="仿宋" w:eastAsia="仿宋" w:cs="仿宋_GB2312"/>
          <w:color w:val="000000" w:themeColor="text1"/>
          <w:sz w:val="32"/>
          <w:szCs w:val="32"/>
          <w:shd w:val="clear" w:color="auto" w:fill="FFFFFF"/>
          <w14:textFill>
            <w14:solidFill>
              <w14:schemeClr w14:val="tx1"/>
            </w14:solidFill>
          </w14:textFill>
        </w:rPr>
        <w:t>教育科研</w:t>
      </w:r>
      <w:r>
        <w:rPr>
          <w:rStyle w:val="10"/>
          <w:rFonts w:hint="eastAsia" w:ascii="仿宋" w:hAnsi="仿宋" w:eastAsia="仿宋" w:cs="仿宋_GB2312"/>
          <w:color w:val="000000" w:themeColor="text1"/>
          <w:sz w:val="32"/>
          <w:szCs w:val="32"/>
          <w:shd w:val="clear" w:color="auto" w:fill="FFFFFF"/>
          <w14:textFill>
            <w14:solidFill>
              <w14:schemeClr w14:val="tx1"/>
            </w14:solidFill>
          </w14:textFill>
        </w:rPr>
        <w:fldChar w:fldCharType="end"/>
      </w:r>
      <w:r>
        <w:rPr>
          <w:rFonts w:hint="eastAsia" w:ascii="仿宋" w:hAnsi="仿宋" w:eastAsia="仿宋" w:cs="仿宋_GB2312"/>
          <w:color w:val="000000" w:themeColor="text1"/>
          <w:sz w:val="32"/>
          <w:szCs w:val="32"/>
          <w:shd w:val="clear" w:color="auto" w:fill="FFFFFF"/>
          <w14:textFill>
            <w14:solidFill>
              <w14:schemeClr w14:val="tx1"/>
            </w14:solidFill>
          </w14:textFill>
        </w:rPr>
        <w:t>、</w:t>
      </w:r>
      <w:r>
        <w:fldChar w:fldCharType="begin"/>
      </w:r>
      <w:r>
        <w:instrText xml:space="preserve"> HYPERLINK "http://www.baike.com/sowiki/%E4%BF%A1%E6%81%AF%E6%8A%80%E6%9C%AF?prd=content_doc_search" \t "http://www.baike.com/wiki/_blank" \o "信息技术" </w:instrText>
      </w:r>
      <w:r>
        <w:fldChar w:fldCharType="separate"/>
      </w:r>
      <w:r>
        <w:rPr>
          <w:rStyle w:val="10"/>
          <w:rFonts w:hint="eastAsia" w:ascii="仿宋" w:hAnsi="仿宋" w:eastAsia="仿宋" w:cs="仿宋_GB2312"/>
          <w:color w:val="000000" w:themeColor="text1"/>
          <w:sz w:val="32"/>
          <w:szCs w:val="32"/>
          <w:shd w:val="clear" w:color="auto" w:fill="FFFFFF"/>
          <w14:textFill>
            <w14:solidFill>
              <w14:schemeClr w14:val="tx1"/>
            </w14:solidFill>
          </w14:textFill>
        </w:rPr>
        <w:t>信息技术</w:t>
      </w:r>
      <w:r>
        <w:rPr>
          <w:rStyle w:val="10"/>
          <w:rFonts w:hint="eastAsia" w:ascii="仿宋" w:hAnsi="仿宋" w:eastAsia="仿宋" w:cs="仿宋_GB2312"/>
          <w:color w:val="000000" w:themeColor="text1"/>
          <w:sz w:val="32"/>
          <w:szCs w:val="32"/>
          <w:shd w:val="clear" w:color="auto" w:fill="FFFFFF"/>
          <w14:textFill>
            <w14:solidFill>
              <w14:schemeClr w14:val="tx1"/>
            </w14:solidFill>
          </w14:textFill>
        </w:rPr>
        <w:fldChar w:fldCharType="end"/>
      </w:r>
      <w:r>
        <w:rPr>
          <w:rFonts w:hint="eastAsia" w:ascii="仿宋" w:hAnsi="仿宋" w:eastAsia="仿宋" w:cs="仿宋_GB2312"/>
          <w:color w:val="000000" w:themeColor="text1"/>
          <w:sz w:val="32"/>
          <w:szCs w:val="32"/>
          <w:shd w:val="clear" w:color="auto" w:fill="FFFFFF"/>
          <w14:textFill>
            <w14:solidFill>
              <w14:schemeClr w14:val="tx1"/>
            </w14:solidFill>
          </w14:textFill>
        </w:rPr>
        <w:t>、教育评价、校产管理等方面统一管理，做到了师资、设备、教学资源等的共享。两校之间既有统一的协调和管理，又相对独立，充分发挥各自的办学特色，实现互惠互助，共同成长。</w:t>
      </w:r>
    </w:p>
    <w:p>
      <w:pPr>
        <w:pStyle w:val="6"/>
        <w:spacing w:before="0" w:beforeAutospacing="0" w:after="252" w:afterAutospacing="0"/>
        <w:ind w:firstLine="640" w:firstLineChars="200"/>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学校集团化办学的运行，引入市场经济的理念，借鉴现代企业的管理制度和运行机制，不断逐步建立起了符合集团化发展的内部管理制度，一是扁平化管理，管理层次少、简政放权、统一指挥、消除内耗，管理幅度大，管理效能高，是一种人性化的新型管理模式。二是网络化管理。三是全面质量管理，集团建立了一整套管理标准和制度，每月按计划对各学校常规工作进行检查和督导评估，并将评估结果与校区分管领导绩效工资挂钩。</w:t>
      </w:r>
    </w:p>
    <w:p>
      <w:pPr>
        <w:pStyle w:val="6"/>
        <w:spacing w:before="0" w:beforeAutospacing="0" w:after="252" w:afterAutospacing="0"/>
        <w:ind w:firstLine="640" w:firstLineChars="200"/>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集团化办学在对教师管理上也作也了改革创新：在尊重教师意愿，考虑学校实际，满</w:t>
      </w:r>
      <w:r>
        <w:rPr>
          <w:rFonts w:hint="eastAsia" w:ascii="仿宋" w:hAnsi="仿宋" w:eastAsia="仿宋" w:cs="仿宋_GB2312"/>
          <w:color w:val="191919"/>
          <w:sz w:val="32"/>
          <w:szCs w:val="32"/>
          <w:shd w:val="clear" w:color="auto" w:fill="FFFFFF"/>
        </w:rPr>
        <w:t>足工作需要的基础上，统筹调配教师资源，切实均衡师资力量，推动学校均衡发展。在实施师资队伍深度融合过程中</w:t>
      </w:r>
      <w:r>
        <w:rPr>
          <w:rFonts w:hint="eastAsia" w:ascii="仿宋" w:hAnsi="仿宋" w:eastAsia="仿宋" w:cs="仿宋_GB2312"/>
          <w:color w:val="000000" w:themeColor="text1"/>
          <w:sz w:val="32"/>
          <w:szCs w:val="32"/>
          <w:shd w:val="clear" w:color="auto" w:fill="FFFFFF"/>
          <w14:textFill>
            <w14:solidFill>
              <w14:schemeClr w14:val="tx1"/>
            </w14:solidFill>
          </w14:textFill>
        </w:rPr>
        <w:t>，强化集团校一体化的概念与意识，提高教师身份的认同度，解决了教师合理流动的问题，又关注了教师归属感问题，使教师愿意交流，适应流动。同时，在流动过程中激发专业发展的潜力，激活专业进取的欲望，实现自身的专业发展与提升。设计科学合理的考核评价细则，实施对校干、教师、学校发展的考核评价，通过考核评价的统一性，减少管理与交流阻力，激发全体教育工作者的积极性与主动性。</w:t>
      </w:r>
    </w:p>
    <w:p>
      <w:pPr>
        <w:pStyle w:val="6"/>
        <w:spacing w:before="0" w:beforeAutospacing="0" w:after="252" w:afterAutospacing="0" w:line="315" w:lineRule="atLeast"/>
        <w:rPr>
          <w:rFonts w:ascii="仿宋" w:hAnsi="仿宋" w:eastAsia="仿宋" w:cs="仿宋_GB2312"/>
          <w:b/>
          <w:bCs/>
          <w:color w:val="000000" w:themeColor="text1"/>
          <w:sz w:val="36"/>
          <w:szCs w:val="36"/>
          <w14:textFill>
            <w14:solidFill>
              <w14:schemeClr w14:val="tx1"/>
            </w14:solidFill>
          </w14:textFill>
        </w:rPr>
      </w:pPr>
      <w:r>
        <w:rPr>
          <w:rFonts w:hint="eastAsia" w:ascii="仿宋" w:hAnsi="仿宋" w:eastAsia="仿宋" w:cs="仿宋_GB2312"/>
          <w:b/>
          <w:bCs/>
          <w:color w:val="000000" w:themeColor="text1"/>
          <w:sz w:val="36"/>
          <w:szCs w:val="36"/>
          <w14:textFill>
            <w14:solidFill>
              <w14:schemeClr w14:val="tx1"/>
            </w14:solidFill>
          </w14:textFill>
        </w:rPr>
        <w:t>五、社会贡献</w:t>
      </w:r>
    </w:p>
    <w:p>
      <w:pPr>
        <w:pStyle w:val="6"/>
        <w:shd w:val="clear" w:color="auto" w:fill="FFFFFF"/>
        <w:spacing w:before="0" w:beforeAutospacing="0" w:after="75" w:afterAutospacing="0" w:line="400" w:lineRule="atLeast"/>
        <w:ind w:firstLine="643" w:firstLineChars="200"/>
        <w:rPr>
          <w:rFonts w:ascii="仿宋" w:hAnsi="仿宋" w:eastAsia="仿宋" w:cs="仿宋_GB2312"/>
          <w:b/>
          <w:kern w:val="2"/>
          <w:sz w:val="32"/>
          <w:szCs w:val="32"/>
        </w:rPr>
      </w:pPr>
      <w:r>
        <w:rPr>
          <w:rFonts w:hint="eastAsia" w:ascii="仿宋" w:hAnsi="仿宋" w:eastAsia="仿宋" w:cs="仿宋_GB2312"/>
          <w:b/>
          <w:kern w:val="2"/>
          <w:sz w:val="32"/>
          <w:szCs w:val="32"/>
        </w:rPr>
        <w:t>5.1技术技能人才培养</w:t>
      </w:r>
    </w:p>
    <w:p>
      <w:pPr>
        <w:ind w:firstLine="64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校注重专业技能技术人才的培养，在校期间，学生分别能考取计算机等级证书、普通话证书、电工、车工、汽车维修工、保育员等相关专业的职业资格证书，2018年总计考证率占毕业人数的77％，2019年总计考证率</w:t>
      </w:r>
      <w:r>
        <w:rPr>
          <w:rFonts w:hint="eastAsia" w:ascii="仿宋" w:hAnsi="仿宋" w:eastAsia="仿宋" w:cs="仿宋"/>
          <w:color w:val="000000" w:themeColor="text1"/>
          <w:sz w:val="32"/>
          <w:szCs w:val="32"/>
          <w:lang w:eastAsia="zh-CN"/>
          <w14:textFill>
            <w14:solidFill>
              <w14:schemeClr w14:val="tx1"/>
            </w14:solidFill>
          </w14:textFill>
        </w:rPr>
        <w:t>占</w:t>
      </w:r>
      <w:r>
        <w:rPr>
          <w:rFonts w:hint="eastAsia" w:ascii="仿宋" w:hAnsi="仿宋" w:eastAsia="仿宋" w:cs="仿宋"/>
          <w:color w:val="000000" w:themeColor="text1"/>
          <w:sz w:val="32"/>
          <w:szCs w:val="32"/>
          <w14:textFill>
            <w14:solidFill>
              <w14:schemeClr w14:val="tx1"/>
            </w14:solidFill>
          </w14:textFill>
        </w:rPr>
        <w:t>毕业人数的</w:t>
      </w:r>
      <w:r>
        <w:rPr>
          <w:rFonts w:hint="eastAsia" w:ascii="仿宋" w:hAnsi="仿宋" w:eastAsia="仿宋" w:cs="仿宋"/>
          <w:color w:val="000000" w:themeColor="text1"/>
          <w:sz w:val="32"/>
          <w:szCs w:val="32"/>
          <w:lang w:val="en-US" w:eastAsia="zh-CN"/>
          <w14:textFill>
            <w14:solidFill>
              <w14:schemeClr w14:val="tx1"/>
            </w14:solidFill>
          </w14:textFill>
        </w:rPr>
        <w:t>83</w:t>
      </w:r>
      <w:r>
        <w:rPr>
          <w:rFonts w:hint="eastAsia" w:ascii="仿宋" w:hAnsi="仿宋" w:eastAsia="仿宋" w:cs="仿宋"/>
          <w:color w:val="000000" w:themeColor="text1"/>
          <w:sz w:val="32"/>
          <w:szCs w:val="32"/>
          <w14:textFill>
            <w14:solidFill>
              <w14:schemeClr w14:val="tx1"/>
            </w14:solidFill>
          </w14:textFill>
        </w:rPr>
        <w:t>％。在学生实习、就业期间分别成为生产车间的拉长、部门技术骨干，就业的优胜率持续提高，如三环电子股份有限公司4名学生在实习时成为组长，吉利集团股份公司南充分公司3名学生在总装车间成为技术能手。学生的实习、就业工资在3000－5000元，为建设成渝第二城做出了一定的贡献。</w:t>
      </w:r>
    </w:p>
    <w:p>
      <w:pPr>
        <w:jc w:val="center"/>
        <w:rPr>
          <w:b/>
          <w:bCs/>
          <w:sz w:val="28"/>
          <w:szCs w:val="28"/>
        </w:rPr>
      </w:pPr>
      <w:r>
        <w:rPr>
          <w:rFonts w:hint="eastAsia"/>
          <w:b/>
          <w:bCs/>
          <w:sz w:val="28"/>
          <w:szCs w:val="28"/>
        </w:rPr>
        <w:t>企业对学生的就业满意度调查</w:t>
      </w:r>
    </w:p>
    <w:tbl>
      <w:tblPr>
        <w:tblStyle w:val="7"/>
        <w:tblW w:w="8597"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2430"/>
        <w:gridCol w:w="210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77" w:type="dxa"/>
          </w:tcPr>
          <w:p>
            <w:pPr>
              <w:jc w:val="center"/>
              <w:rPr>
                <w:sz w:val="28"/>
                <w:szCs w:val="28"/>
              </w:rPr>
            </w:pPr>
            <w:r>
              <w:rPr>
                <w:rFonts w:hint="eastAsia"/>
                <w:sz w:val="28"/>
                <w:szCs w:val="28"/>
              </w:rPr>
              <w:t>调查年份</w:t>
            </w:r>
          </w:p>
        </w:tc>
        <w:tc>
          <w:tcPr>
            <w:tcW w:w="2430" w:type="dxa"/>
          </w:tcPr>
          <w:p>
            <w:pPr>
              <w:jc w:val="center"/>
              <w:rPr>
                <w:sz w:val="28"/>
                <w:szCs w:val="28"/>
              </w:rPr>
            </w:pPr>
            <w:r>
              <w:rPr>
                <w:rFonts w:hint="eastAsia"/>
                <w:sz w:val="28"/>
                <w:szCs w:val="28"/>
              </w:rPr>
              <w:t>发放调查表</w:t>
            </w:r>
          </w:p>
        </w:tc>
        <w:tc>
          <w:tcPr>
            <w:tcW w:w="2100" w:type="dxa"/>
          </w:tcPr>
          <w:p>
            <w:pPr>
              <w:widowControl/>
              <w:jc w:val="center"/>
              <w:rPr>
                <w:sz w:val="28"/>
                <w:szCs w:val="28"/>
              </w:rPr>
            </w:pPr>
            <w:r>
              <w:rPr>
                <w:rFonts w:hint="eastAsia"/>
                <w:sz w:val="28"/>
                <w:szCs w:val="28"/>
              </w:rPr>
              <w:t>收回调查表</w:t>
            </w:r>
          </w:p>
        </w:tc>
        <w:tc>
          <w:tcPr>
            <w:tcW w:w="2490" w:type="dxa"/>
          </w:tcPr>
          <w:p>
            <w:pPr>
              <w:jc w:val="center"/>
              <w:rPr>
                <w:sz w:val="28"/>
                <w:szCs w:val="28"/>
              </w:rPr>
            </w:pPr>
            <w:r>
              <w:rPr>
                <w:rFonts w:hint="eastAsia"/>
                <w:sz w:val="28"/>
                <w:szCs w:val="28"/>
              </w:rPr>
              <w:t>企业满意度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77" w:type="dxa"/>
          </w:tcPr>
          <w:p>
            <w:pPr>
              <w:ind w:left="-90"/>
              <w:jc w:val="center"/>
              <w:rPr>
                <w:sz w:val="28"/>
                <w:szCs w:val="28"/>
              </w:rPr>
            </w:pPr>
            <w:r>
              <w:rPr>
                <w:rFonts w:hint="eastAsia"/>
                <w:sz w:val="28"/>
                <w:szCs w:val="28"/>
              </w:rPr>
              <w:t>2018</w:t>
            </w:r>
          </w:p>
        </w:tc>
        <w:tc>
          <w:tcPr>
            <w:tcW w:w="2430" w:type="dxa"/>
          </w:tcPr>
          <w:p>
            <w:pPr>
              <w:widowControl/>
              <w:jc w:val="center"/>
              <w:rPr>
                <w:sz w:val="28"/>
                <w:szCs w:val="28"/>
              </w:rPr>
            </w:pPr>
            <w:r>
              <w:rPr>
                <w:rFonts w:hint="eastAsia"/>
                <w:sz w:val="28"/>
                <w:szCs w:val="28"/>
              </w:rPr>
              <w:t>653</w:t>
            </w:r>
          </w:p>
        </w:tc>
        <w:tc>
          <w:tcPr>
            <w:tcW w:w="2100" w:type="dxa"/>
          </w:tcPr>
          <w:p>
            <w:pPr>
              <w:widowControl/>
              <w:jc w:val="center"/>
              <w:rPr>
                <w:sz w:val="28"/>
                <w:szCs w:val="28"/>
              </w:rPr>
            </w:pPr>
            <w:r>
              <w:rPr>
                <w:rFonts w:hint="eastAsia"/>
                <w:sz w:val="28"/>
                <w:szCs w:val="28"/>
              </w:rPr>
              <w:t>602</w:t>
            </w:r>
          </w:p>
        </w:tc>
        <w:tc>
          <w:tcPr>
            <w:tcW w:w="2490" w:type="dxa"/>
          </w:tcPr>
          <w:p>
            <w:pPr>
              <w:jc w:val="center"/>
              <w:rPr>
                <w:sz w:val="28"/>
                <w:szCs w:val="28"/>
              </w:rPr>
            </w:pPr>
            <w:r>
              <w:rPr>
                <w:rFonts w:hint="eastAsia"/>
                <w:sz w:val="28"/>
                <w:szCs w:val="28"/>
              </w:rPr>
              <w:t>79</w:t>
            </w:r>
            <w:r>
              <w:rPr>
                <w:rFonts w:hint="eastAsia" w:ascii="宋体" w:hAnsi="宋体" w:eastAsia="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77" w:type="dxa"/>
          </w:tcPr>
          <w:p>
            <w:pPr>
              <w:jc w:val="center"/>
              <w:rPr>
                <w:sz w:val="28"/>
                <w:szCs w:val="28"/>
              </w:rPr>
            </w:pPr>
            <w:r>
              <w:rPr>
                <w:rFonts w:hint="eastAsia"/>
                <w:sz w:val="28"/>
                <w:szCs w:val="28"/>
              </w:rPr>
              <w:t>2019</w:t>
            </w:r>
          </w:p>
        </w:tc>
        <w:tc>
          <w:tcPr>
            <w:tcW w:w="2430" w:type="dxa"/>
          </w:tcPr>
          <w:p>
            <w:pPr>
              <w:jc w:val="center"/>
              <w:rPr>
                <w:sz w:val="28"/>
                <w:szCs w:val="28"/>
              </w:rPr>
            </w:pPr>
            <w:r>
              <w:rPr>
                <w:rFonts w:hint="eastAsia"/>
                <w:sz w:val="28"/>
                <w:szCs w:val="28"/>
              </w:rPr>
              <w:t>846</w:t>
            </w:r>
          </w:p>
        </w:tc>
        <w:tc>
          <w:tcPr>
            <w:tcW w:w="2100" w:type="dxa"/>
          </w:tcPr>
          <w:p>
            <w:pPr>
              <w:jc w:val="center"/>
              <w:rPr>
                <w:sz w:val="28"/>
                <w:szCs w:val="28"/>
              </w:rPr>
            </w:pPr>
            <w:r>
              <w:rPr>
                <w:rFonts w:hint="eastAsia"/>
                <w:sz w:val="28"/>
                <w:szCs w:val="28"/>
              </w:rPr>
              <w:t>823</w:t>
            </w:r>
          </w:p>
        </w:tc>
        <w:tc>
          <w:tcPr>
            <w:tcW w:w="2490" w:type="dxa"/>
          </w:tcPr>
          <w:p>
            <w:pPr>
              <w:jc w:val="center"/>
              <w:rPr>
                <w:sz w:val="28"/>
                <w:szCs w:val="28"/>
              </w:rPr>
            </w:pPr>
            <w:r>
              <w:rPr>
                <w:rFonts w:hint="eastAsia"/>
                <w:sz w:val="28"/>
                <w:szCs w:val="28"/>
              </w:rPr>
              <w:t>82</w:t>
            </w:r>
            <w:r>
              <w:rPr>
                <w:rFonts w:hint="eastAsia" w:ascii="宋体" w:hAnsi="宋体" w:eastAsia="宋体"/>
                <w:sz w:val="28"/>
                <w:szCs w:val="28"/>
              </w:rPr>
              <w:t>％</w:t>
            </w:r>
          </w:p>
        </w:tc>
      </w:tr>
    </w:tbl>
    <w:p/>
    <w:p>
      <w:pPr>
        <w:pStyle w:val="6"/>
        <w:shd w:val="clear" w:color="auto" w:fill="FFFFFF"/>
        <w:spacing w:before="0" w:beforeAutospacing="0" w:after="75" w:afterAutospacing="0" w:line="400" w:lineRule="atLeast"/>
        <w:ind w:firstLine="643" w:firstLineChars="200"/>
        <w:rPr>
          <w:rFonts w:ascii="仿宋" w:hAnsi="仿宋" w:eastAsia="仿宋" w:cs="仿宋_GB2312"/>
          <w:b/>
          <w:bCs/>
          <w:kern w:val="2"/>
          <w:sz w:val="32"/>
          <w:szCs w:val="32"/>
        </w:rPr>
      </w:pPr>
      <w:r>
        <w:rPr>
          <w:rFonts w:hint="eastAsia" w:ascii="仿宋" w:hAnsi="仿宋" w:eastAsia="仿宋" w:cs="仿宋_GB2312"/>
          <w:b/>
          <w:bCs/>
          <w:kern w:val="2"/>
          <w:sz w:val="32"/>
          <w:szCs w:val="32"/>
        </w:rPr>
        <w:t>5.2社会服务</w:t>
      </w: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C0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学校高度重视社会服务工作，尤其是在汽车专业、电子技术专业，2019年共培训农民工310人，从事相关行业120人；2019年培训再就业人员180人，经过培训再就业人员97人。学校的师资和实训室对社会开放，2019年共对社会服务60天。</w:t>
      </w:r>
    </w:p>
    <w:p>
      <w:pPr>
        <w:pStyle w:val="6"/>
        <w:shd w:val="clear" w:color="auto" w:fill="FFFFFF"/>
        <w:spacing w:before="0" w:beforeAutospacing="0" w:after="75" w:afterAutospacing="0" w:line="400" w:lineRule="atLeast"/>
        <w:ind w:firstLine="643" w:firstLineChars="200"/>
        <w:rPr>
          <w:rFonts w:ascii="仿宋" w:hAnsi="仿宋" w:eastAsia="仿宋" w:cs="仿宋_GB2312"/>
          <w:b/>
          <w:color w:val="000000" w:themeColor="text1"/>
          <w:kern w:val="2"/>
          <w:sz w:val="32"/>
          <w:szCs w:val="32"/>
          <w14:textFill>
            <w14:solidFill>
              <w14:schemeClr w14:val="tx1"/>
            </w14:solidFill>
          </w14:textFill>
        </w:rPr>
      </w:pPr>
      <w:r>
        <w:rPr>
          <w:rFonts w:hint="eastAsia" w:ascii="仿宋" w:hAnsi="仿宋" w:eastAsia="仿宋" w:cs="仿宋_GB2312"/>
          <w:b/>
          <w:color w:val="000000" w:themeColor="text1"/>
          <w:kern w:val="2"/>
          <w:sz w:val="32"/>
          <w:szCs w:val="32"/>
          <w14:textFill>
            <w14:solidFill>
              <w14:schemeClr w14:val="tx1"/>
            </w14:solidFill>
          </w14:textFill>
        </w:rPr>
        <w:t>5.3对口支援</w:t>
      </w:r>
    </w:p>
    <w:p>
      <w:pPr>
        <w:pStyle w:val="6"/>
        <w:shd w:val="clear" w:color="auto" w:fill="FFFFFF"/>
        <w:spacing w:before="0" w:beforeAutospacing="0" w:after="75" w:afterAutospacing="0" w:line="400" w:lineRule="atLeas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学校对家庭特别困难的学生对口扶贫， 28名高坪籍特别困难学生实行建档立卡，均享受免学费1900元一年，共三年。助学金2000元一年，共两年。建档立卡特别资助1000元一年，共三年。保证他们能顺利完成学业。</w:t>
      </w:r>
    </w:p>
    <w:p>
      <w:pPr>
        <w:pStyle w:val="6"/>
        <w:shd w:val="clear" w:color="auto" w:fill="FFFFFF"/>
        <w:spacing w:before="0" w:beforeAutospacing="0" w:after="75" w:afterAutospacing="0" w:line="400" w:lineRule="atLeast"/>
        <w:rPr>
          <w:rFonts w:ascii="仿宋" w:hAnsi="仿宋" w:eastAsia="仿宋" w:cs="仿宋_GB2312"/>
          <w:b/>
          <w:bCs/>
          <w:color w:val="000000" w:themeColor="text1"/>
          <w:kern w:val="2"/>
          <w:sz w:val="36"/>
          <w:szCs w:val="36"/>
          <w14:textFill>
            <w14:solidFill>
              <w14:schemeClr w14:val="tx1"/>
            </w14:solidFill>
          </w14:textFill>
        </w:rPr>
      </w:pPr>
      <w:r>
        <w:rPr>
          <w:rFonts w:hint="eastAsia" w:ascii="仿宋" w:hAnsi="仿宋" w:eastAsia="仿宋" w:cs="仿宋_GB2312"/>
          <w:b/>
          <w:bCs/>
          <w:color w:val="000000" w:themeColor="text1"/>
          <w:kern w:val="2"/>
          <w:sz w:val="36"/>
          <w:szCs w:val="36"/>
          <w14:textFill>
            <w14:solidFill>
              <w14:schemeClr w14:val="tx1"/>
            </w14:solidFill>
          </w14:textFill>
        </w:rPr>
        <w:t>六、举办者履责</w:t>
      </w:r>
    </w:p>
    <w:p>
      <w:pPr>
        <w:pStyle w:val="6"/>
        <w:shd w:val="clear" w:color="auto" w:fill="FFFFFF"/>
        <w:spacing w:before="0" w:beforeAutospacing="0" w:after="75" w:afterAutospacing="0" w:line="400" w:lineRule="atLeast"/>
        <w:ind w:firstLine="643" w:firstLineChars="200"/>
        <w:rPr>
          <w:rFonts w:ascii="仿宋" w:hAnsi="仿宋" w:eastAsia="仿宋" w:cs="仿宋_GB2312"/>
          <w:b/>
          <w:color w:val="000000" w:themeColor="text1"/>
          <w:kern w:val="2"/>
          <w:sz w:val="32"/>
          <w:szCs w:val="32"/>
          <w14:textFill>
            <w14:solidFill>
              <w14:schemeClr w14:val="tx1"/>
            </w14:solidFill>
          </w14:textFill>
        </w:rPr>
      </w:pPr>
      <w:r>
        <w:rPr>
          <w:rFonts w:hint="eastAsia" w:ascii="仿宋" w:hAnsi="仿宋" w:eastAsia="仿宋" w:cs="仿宋_GB2312"/>
          <w:b/>
          <w:color w:val="000000" w:themeColor="text1"/>
          <w:kern w:val="2"/>
          <w:sz w:val="32"/>
          <w:szCs w:val="32"/>
          <w14:textFill>
            <w14:solidFill>
              <w14:schemeClr w14:val="tx1"/>
            </w14:solidFill>
          </w14:textFill>
        </w:rPr>
        <w:t>6.1经费</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1、学校获得国家专项资金10万元，用于学校高技能培训基地，提高学校对高技能人才的培训。</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2、学校自筹资金35万元，用于建造LED大屏幕.</w:t>
      </w:r>
    </w:p>
    <w:p>
      <w:pPr>
        <w:ind w:firstLine="640" w:firstLineChars="200"/>
        <w:rPr>
          <w:rFonts w:ascii="仿宋" w:hAnsi="仿宋" w:eastAsia="仿宋" w:cs="仿宋"/>
          <w:color w:val="C00000"/>
          <w:sz w:val="32"/>
          <w:szCs w:val="32"/>
        </w:rPr>
      </w:pPr>
      <w:r>
        <w:rPr>
          <w:rFonts w:hint="eastAsia" w:ascii="仿宋" w:hAnsi="仿宋" w:eastAsia="仿宋" w:cs="仿宋"/>
          <w:color w:val="000000" w:themeColor="text1"/>
          <w:sz w:val="32"/>
          <w:szCs w:val="32"/>
          <w14:textFill>
            <w14:solidFill>
              <w14:schemeClr w14:val="tx1"/>
            </w14:solidFill>
          </w14:textFill>
        </w:rPr>
        <w:t>3、自筹资金170万元，分别用于改造学生住宿条件，改造教室环境等设施；用于添置教学实训设备（如新能源汽车、无人机、机器人等设备）用于改善学校内部环境。</w:t>
      </w:r>
    </w:p>
    <w:p>
      <w:pPr>
        <w:pStyle w:val="6"/>
        <w:shd w:val="clear" w:color="auto" w:fill="FFFFFF"/>
        <w:spacing w:before="0" w:beforeAutospacing="0" w:after="75" w:afterAutospacing="0" w:line="400" w:lineRule="atLeast"/>
        <w:ind w:firstLine="643" w:firstLineChars="200"/>
        <w:rPr>
          <w:rFonts w:ascii="仿宋" w:hAnsi="仿宋" w:eastAsia="仿宋" w:cs="仿宋_GB2312"/>
          <w:b/>
          <w:kern w:val="2"/>
          <w:sz w:val="32"/>
          <w:szCs w:val="32"/>
        </w:rPr>
      </w:pPr>
      <w:r>
        <w:rPr>
          <w:rFonts w:hint="eastAsia" w:ascii="仿宋" w:hAnsi="仿宋" w:eastAsia="仿宋" w:cs="仿宋_GB2312"/>
          <w:b/>
          <w:kern w:val="2"/>
          <w:sz w:val="32"/>
          <w:szCs w:val="32"/>
        </w:rPr>
        <w:t>6.2政策措施</w:t>
      </w:r>
    </w:p>
    <w:p>
      <w:pPr>
        <w:pStyle w:val="6"/>
        <w:shd w:val="clear" w:color="auto" w:fill="FFFFFF"/>
        <w:spacing w:before="0" w:beforeAutospacing="0" w:after="75" w:afterAutospacing="0" w:line="400" w:lineRule="atLeas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我校高度重视课程建设工作和提高教师业务水平工作。每年设立教学研究和教学改革项目，提升学校办学水平。加强课程建设的组织领导，保证课程建设工作的有效开展。加大经费投入力度，为课程建设提供必要的经费支持。</w:t>
      </w:r>
    </w:p>
    <w:p>
      <w:pPr>
        <w:pStyle w:val="6"/>
        <w:shd w:val="clear" w:color="auto" w:fill="FFFFFF"/>
        <w:spacing w:before="0" w:beforeAutospacing="0" w:after="75" w:afterAutospacing="0" w:line="400" w:lineRule="atLeas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加强教师队伍建设，不断提高教学水平。为进一步加强教师队伍建设，学校注意引进学术水平和教学水平“双高”的主讲教师；鼓励并投入专项经费支持在职教师进行短期进修，不断提高教学科研水平；充分开发利用校内教学资源，加强对青年教师的指导和帮助，迅速提高青年教师的教学水平；巩固现代教育技术培训取得的成果，开办现代教育技术高级培训班，全面提高教师运用现代教育技术改革教学方法、手段的能力；在增加兼职教师数量的同时，提高外聘教师的质量。</w:t>
      </w:r>
      <w:r>
        <w:rPr>
          <w:rFonts w:hint="eastAsia"/>
          <w:kern w:val="2"/>
          <w:sz w:val="32"/>
          <w:szCs w:val="32"/>
        </w:rPr>
        <w:t> </w:t>
      </w:r>
      <w:r>
        <w:rPr>
          <w:rFonts w:hint="eastAsia" w:ascii="仿宋" w:hAnsi="仿宋" w:eastAsia="仿宋" w:cs="仿宋_GB2312"/>
          <w:kern w:val="2"/>
          <w:sz w:val="32"/>
          <w:szCs w:val="32"/>
        </w:rPr>
        <w:t>强化教改立项研究内容与课程建设的有机结合，不断更新课程建设内容。深化教学改革是加强课程建设的核心，是提高课程建设水平的源泉，为使课程建设内容不断更新，学校重点支持与课程建设关系密切的，以改革教学内容、课程体系、教学方法、教学手段和方式等为内容（含实践教学）的研究项目，使先进的教学经验和教改成果及时融入课程建设之中，从而不断提高课程建设水平。</w:t>
      </w:r>
      <w:r>
        <w:rPr>
          <w:rFonts w:hint="eastAsia"/>
          <w:kern w:val="2"/>
          <w:sz w:val="32"/>
          <w:szCs w:val="32"/>
        </w:rPr>
        <w:t> </w:t>
      </w:r>
    </w:p>
    <w:p>
      <w:pPr>
        <w:pStyle w:val="6"/>
        <w:shd w:val="clear" w:color="auto" w:fill="FFFFFF"/>
        <w:spacing w:before="0" w:beforeAutospacing="0" w:after="75" w:afterAutospacing="0" w:line="400" w:lineRule="atLeas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建立科学合理的管理机制，确保课程建设质量。建立有效的激励机制，鼓励教师积极参加课程建设。学校把课程建设纳入教学工作考核、奖励范畴，建立相应的激励机制。</w:t>
      </w:r>
    </w:p>
    <w:p>
      <w:pPr>
        <w:pStyle w:val="6"/>
        <w:numPr>
          <w:ilvl w:val="0"/>
          <w:numId w:val="2"/>
        </w:numPr>
        <w:shd w:val="clear" w:color="auto" w:fill="FFFFFF"/>
        <w:spacing w:before="0" w:beforeAutospacing="0" w:after="75" w:afterAutospacing="0" w:line="400" w:lineRule="atLeast"/>
        <w:rPr>
          <w:rFonts w:ascii="仿宋" w:hAnsi="仿宋" w:eastAsia="仿宋" w:cs="仿宋_GB2312"/>
          <w:b/>
          <w:bCs/>
          <w:kern w:val="2"/>
          <w:sz w:val="36"/>
          <w:szCs w:val="36"/>
        </w:rPr>
      </w:pPr>
      <w:r>
        <w:rPr>
          <w:rFonts w:hint="eastAsia" w:ascii="仿宋" w:hAnsi="仿宋" w:eastAsia="仿宋" w:cs="仿宋_GB2312"/>
          <w:b/>
          <w:bCs/>
          <w:kern w:val="2"/>
          <w:sz w:val="36"/>
          <w:szCs w:val="36"/>
        </w:rPr>
        <w:t>特色创新</w:t>
      </w:r>
    </w:p>
    <w:p>
      <w:pPr>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开设情商教育课程</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为了培养学生控制情绪、与他人相处的能力，学校成立了情商教研室，目前教研室成员共</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人。针对于我校学生的实际情况编写出符合我校学生使用情商教材。</w:t>
      </w:r>
    </w:p>
    <w:p>
      <w:pPr>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实行全军事化管理</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了全面贯彻落实习近平总书记在十九大报告中关于“加强全民国防教育，巩固军政军民团结，为实现中国梦强军梦凝聚强大力量”的讲话，2017年12月我校与四川国防教育学院签订了联合办学协议，共同举办“国防后备人才培养班”，在全校实行军事化管理。在此基础上，学校内务管理水平也达到标准化、常态化。</w:t>
      </w:r>
    </w:p>
    <w:p>
      <w:pPr>
        <w:pStyle w:val="6"/>
        <w:shd w:val="clear" w:color="auto" w:fill="FFFFFF"/>
        <w:spacing w:before="0" w:beforeAutospacing="0" w:after="75" w:afterAutospacing="0" w:line="400" w:lineRule="atLeast"/>
        <w:rPr>
          <w:rFonts w:ascii="仿宋" w:hAnsi="仿宋" w:eastAsia="仿宋" w:cs="仿宋_GB2312"/>
          <w:b/>
          <w:bCs/>
          <w:color w:val="000000" w:themeColor="text1"/>
          <w:kern w:val="2"/>
          <w:sz w:val="32"/>
          <w:szCs w:val="32"/>
          <w14:textFill>
            <w14:solidFill>
              <w14:schemeClr w14:val="tx1"/>
            </w14:solidFill>
          </w14:textFill>
        </w:rPr>
      </w:pPr>
      <w:r>
        <w:rPr>
          <w:rFonts w:hint="eastAsia" w:ascii="仿宋" w:hAnsi="仿宋" w:eastAsia="仿宋" w:cs="仿宋_GB2312"/>
          <w:b/>
          <w:bCs/>
          <w:color w:val="000000" w:themeColor="text1"/>
          <w:kern w:val="2"/>
          <w:sz w:val="32"/>
          <w:szCs w:val="32"/>
          <w14:textFill>
            <w14:solidFill>
              <w14:schemeClr w14:val="tx1"/>
            </w14:solidFill>
          </w14:textFill>
        </w:rPr>
        <w:t>案例一：</w:t>
      </w:r>
    </w:p>
    <w:p>
      <w:pPr>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探索校企合作、产教融合的办学模式</w:t>
      </w:r>
    </w:p>
    <w:p>
      <w:pPr>
        <w:rPr>
          <w:rFonts w:ascii="仿宋" w:hAnsi="仿宋" w:eastAsia="仿宋"/>
          <w:color w:val="000000" w:themeColor="text1"/>
          <w:sz w:val="32"/>
          <w:szCs w:val="32"/>
          <w14:textFill>
            <w14:solidFill>
              <w14:schemeClr w14:val="tx1"/>
            </w14:solidFill>
          </w14:textFill>
        </w:rPr>
      </w:pPr>
    </w:p>
    <w:p>
      <w:pP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一、实施背景</w:t>
      </w:r>
    </w:p>
    <w:p>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业教育实际上是从业前的教育，如何让学生的就业观与用人单位的用人观相吻合，这是当前职业教育工作者需要探讨的问题。学校首先要确立“以企业为中心”的观念，一切以社会需要和企业需要为准则，致力于发挥学校的优势和潜力去解决企业用人需求的问题。因此，加强校企合作，推进产教融合，实现校企双赢，是促进职业技术教育改革和发展的必由之路，是培养紧缺型技能实用人才强劲动力。</w:t>
      </w:r>
    </w:p>
    <w:p>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位于南充嘉陵区的吉利四川商用车有限公司，决定遴选优秀的职业学校作为人才储备基地，我校于2016年9月开始筹备，2017年6月通过吉利四川商用车有限公司考察，被授予“吉利汽车人才培养基地” （授牌仪式见图11-1），决定于2017年9月组建“吉利工匠”远程班并授牌（见图11-2），同时为新建班级提供伍仟元奖学金。</w:t>
      </w:r>
    </w:p>
    <w:p>
      <w:pPr>
        <w:spacing w:line="400" w:lineRule="exact"/>
        <w:rPr>
          <w:rFonts w:ascii="仿宋" w:hAnsi="仿宋" w:eastAsia="仿宋" w:cs="宋体"/>
          <w:color w:val="000000" w:themeColor="text1"/>
          <w:szCs w:val="21"/>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图11-1：</w:t>
      </w:r>
      <w:r>
        <w:rPr>
          <w:rFonts w:hint="eastAsia" w:ascii="仿宋" w:hAnsi="仿宋" w:eastAsia="仿宋" w:cs="宋体"/>
          <w:color w:val="000000" w:themeColor="text1"/>
          <w:szCs w:val="21"/>
          <w14:textFill>
            <w14:solidFill>
              <w14:schemeClr w14:val="tx1"/>
            </w14:solidFill>
          </w14:textFill>
        </w:rPr>
        <w:t>吉利汽车人才培养基地授牌仪式</w:t>
      </w:r>
    </w:p>
    <w:p>
      <w:pPr>
        <w:ind w:firstLine="645"/>
        <w:jc w:val="center"/>
        <w:rPr>
          <w:rFonts w:ascii="仿宋" w:hAnsi="仿宋" w:eastAsia="仿宋"/>
          <w:color w:val="C00000"/>
          <w:sz w:val="32"/>
          <w:szCs w:val="32"/>
        </w:rPr>
      </w:pPr>
      <w:r>
        <w:rPr>
          <w:rFonts w:ascii="仿宋" w:hAnsi="仿宋" w:eastAsia="仿宋"/>
          <w:color w:val="C00000"/>
          <w:sz w:val="32"/>
          <w:szCs w:val="32"/>
        </w:rPr>
        <w:drawing>
          <wp:inline distT="0" distB="0" distL="0" distR="0">
            <wp:extent cx="4603115" cy="2695575"/>
            <wp:effectExtent l="0" t="0" r="6985" b="9525"/>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12169" cy="2700527"/>
                    </a:xfrm>
                    <a:prstGeom prst="rect">
                      <a:avLst/>
                    </a:prstGeom>
                  </pic:spPr>
                </pic:pic>
              </a:graphicData>
            </a:graphic>
          </wp:inline>
        </w:drawing>
      </w:r>
    </w:p>
    <w:p>
      <w:pPr>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图11-2</w:t>
      </w:r>
    </w:p>
    <w:p>
      <w:pPr>
        <w:spacing w:line="400" w:lineRule="exact"/>
        <w:rPr>
          <w:rFonts w:ascii="仿宋" w:hAnsi="仿宋" w:eastAsia="仿宋" w:cs="宋体"/>
          <w:color w:val="C00000"/>
          <w:szCs w:val="21"/>
        </w:rPr>
      </w:pPr>
      <w:r>
        <w:rPr>
          <w:rFonts w:hint="eastAsia" w:ascii="仿宋" w:hAnsi="仿宋" w:eastAsia="仿宋" w:cs="宋体"/>
          <w:color w:val="C00000"/>
          <w:szCs w:val="21"/>
        </w:rPr>
        <w:drawing>
          <wp:anchor distT="0" distB="0" distL="114300" distR="114300" simplePos="0" relativeHeight="251662336" behindDoc="0" locked="0" layoutInCell="1" allowOverlap="1">
            <wp:simplePos x="0" y="0"/>
            <wp:positionH relativeFrom="column">
              <wp:posOffset>485775</wp:posOffset>
            </wp:positionH>
            <wp:positionV relativeFrom="paragraph">
              <wp:posOffset>342900</wp:posOffset>
            </wp:positionV>
            <wp:extent cx="4646295" cy="2781300"/>
            <wp:effectExtent l="0" t="0" r="1905" b="0"/>
            <wp:wrapTopAndBottom/>
            <wp:docPr id="2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46295" cy="2781300"/>
                    </a:xfrm>
                    <a:prstGeom prst="rect">
                      <a:avLst/>
                    </a:prstGeom>
                  </pic:spPr>
                </pic:pic>
              </a:graphicData>
            </a:graphic>
          </wp:anchor>
        </w:drawing>
      </w:r>
    </w:p>
    <w:p>
      <w:pPr>
        <w:pStyle w:val="11"/>
        <w:numPr>
          <w:ilvl w:val="0"/>
          <w:numId w:val="0"/>
        </w:numPr>
        <w:ind w:leftChars="0"/>
        <w:rPr>
          <w:rFonts w:ascii="仿宋" w:hAnsi="仿宋" w:eastAsia="仿宋"/>
          <w:b/>
          <w:color w:val="000000" w:themeColor="text1"/>
          <w:sz w:val="30"/>
          <w:szCs w:val="30"/>
          <w14:textFill>
            <w14:solidFill>
              <w14:schemeClr w14:val="tx1"/>
            </w14:solidFill>
          </w14:textFill>
        </w:rPr>
      </w:pPr>
    </w:p>
    <w:p>
      <w:pPr>
        <w:pStyle w:val="11"/>
        <w:numPr>
          <w:ilvl w:val="0"/>
          <w:numId w:val="3"/>
        </w:numPr>
        <w:ind w:firstLineChars="0"/>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建设目标</w:t>
      </w:r>
    </w:p>
    <w:p>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通过深入企业一线调研，将企业中的不同岗位工作内容进行汇总，抽离其中的知识要点，以具体的工作任务为引领，深化教学模式改革，邀请企业专家共同制定课程标准、共同撰写人才培养方案、共同编写教材。最终编写出一批具有与企业生产实践相结合的优质教材。</w:t>
      </w:r>
    </w:p>
    <w:p>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聘请企业专家进课堂，改变以往的课堂讲述方式，形成任务驱动，让做、学、教融为一体，切实让学生掌握企业所需技能。并通过多种考核进行学生综合素质评价，择优入职，最终实现校企一体、产教融合的办学新模式。</w:t>
      </w:r>
    </w:p>
    <w:p>
      <w:pPr>
        <w:pStyle w:val="11"/>
        <w:numPr>
          <w:ilvl w:val="0"/>
          <w:numId w:val="3"/>
        </w:numPr>
        <w:ind w:firstLineChars="0"/>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实施方案</w:t>
      </w:r>
    </w:p>
    <w:p>
      <w:pPr>
        <w:ind w:firstLine="640" w:firstLineChars="200"/>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1、2017年7月签定现代学徒制校企合作协议</w:t>
      </w:r>
    </w:p>
    <w:p>
      <w:pPr>
        <w:ind w:firstLine="640" w:firstLineChars="200"/>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2、2017年8月，根据职业岗位要求的知识水平、技能等级、培养目标，制定出数学标准、课程设置、教学大纲等。并确定就读层次为大专。</w:t>
      </w:r>
    </w:p>
    <w:p>
      <w:pPr>
        <w:ind w:firstLine="640" w:firstLineChars="200"/>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3、严把招生关，入学前进行严格的笔试、面试、体检，根据“吉</w:t>
      </w:r>
      <w:r>
        <w:rPr>
          <w:rFonts w:hint="eastAsia" w:ascii="仿宋" w:hAnsi="仿宋" w:eastAsia="仿宋"/>
          <w:color w:val="000000" w:themeColor="text1"/>
          <w:sz w:val="32"/>
          <w:szCs w:val="32"/>
          <w14:textFill>
            <w14:solidFill>
              <w14:schemeClr w14:val="tx1"/>
            </w14:solidFill>
          </w14:textFill>
        </w:rPr>
        <w:t>利工匠”远程班</w:t>
      </w:r>
      <w:r>
        <w:rPr>
          <w:rFonts w:hint="eastAsia" w:ascii="仿宋" w:hAnsi="仿宋" w:eastAsia="仿宋" w:cs="宋体"/>
          <w:color w:val="000000" w:themeColor="text1"/>
          <w:sz w:val="32"/>
          <w:szCs w:val="28"/>
          <w14:textFill>
            <w14:solidFill>
              <w14:schemeClr w14:val="tx1"/>
            </w14:solidFill>
          </w14:textFill>
        </w:rPr>
        <w:t>采取的一签三定的运作模式（签订培养协议，定向专业、定向招生、定向就业）于2017年9月组建班级（见图12-1）。</w:t>
      </w:r>
    </w:p>
    <w:p>
      <w:pPr>
        <w:ind w:firstLine="643" w:firstLineChars="200"/>
        <w:rPr>
          <w:rFonts w:ascii="仿宋" w:hAnsi="仿宋" w:eastAsia="仿宋" w:cs="宋体"/>
          <w:b/>
          <w:color w:val="000000" w:themeColor="text1"/>
          <w:sz w:val="32"/>
          <w:szCs w:val="28"/>
          <w14:textFill>
            <w14:solidFill>
              <w14:schemeClr w14:val="tx1"/>
            </w14:solidFill>
          </w14:textFill>
        </w:rPr>
      </w:pPr>
      <w:r>
        <w:rPr>
          <w:rFonts w:hint="eastAsia" w:ascii="仿宋" w:hAnsi="仿宋" w:eastAsia="仿宋" w:cs="宋体"/>
          <w:b/>
          <w:color w:val="000000" w:themeColor="text1"/>
          <w:sz w:val="32"/>
          <w:szCs w:val="28"/>
          <w14:textFill>
            <w14:solidFill>
              <w14:schemeClr w14:val="tx1"/>
            </w14:solidFill>
          </w14:textFill>
        </w:rPr>
        <w:t>图12-1：</w:t>
      </w:r>
    </w:p>
    <w:p>
      <w:pPr>
        <w:ind w:firstLine="640" w:firstLineChars="200"/>
        <w:jc w:val="center"/>
        <w:rPr>
          <w:rFonts w:ascii="仿宋" w:hAnsi="仿宋" w:eastAsia="仿宋" w:cs="宋体"/>
          <w:color w:val="C00000"/>
          <w:sz w:val="32"/>
          <w:szCs w:val="28"/>
        </w:rPr>
      </w:pPr>
      <w:r>
        <w:rPr>
          <w:rFonts w:ascii="仿宋" w:hAnsi="仿宋" w:eastAsia="仿宋" w:cs="宋体"/>
          <w:color w:val="000000" w:themeColor="text1"/>
          <w:sz w:val="32"/>
          <w:szCs w:val="28"/>
          <w14:textFill>
            <w14:solidFill>
              <w14:schemeClr w14:val="tx1"/>
            </w14:solidFill>
          </w14:textFill>
        </w:rPr>
        <w:drawing>
          <wp:inline distT="0" distB="0" distL="0" distR="0">
            <wp:extent cx="4513580" cy="3008630"/>
            <wp:effectExtent l="0" t="0" r="1270" b="1270"/>
            <wp:docPr id="2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35615" cy="3023561"/>
                    </a:xfrm>
                    <a:prstGeom prst="rect">
                      <a:avLst/>
                    </a:prstGeom>
                  </pic:spPr>
                </pic:pic>
              </a:graphicData>
            </a:graphic>
          </wp:inline>
        </w:drawing>
      </w:r>
    </w:p>
    <w:p>
      <w:pPr>
        <w:ind w:firstLine="640" w:firstLineChars="200"/>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4、为了突出实用性，学校将以工学交替的“教学工厂”和实践教学的“现场案例分析”的模式，强化训练学生的实际操作能力，同时导入企业要求的必修课（见图12-2）。</w:t>
      </w:r>
    </w:p>
    <w:p>
      <w:pPr>
        <w:rPr>
          <w:rFonts w:ascii="仿宋" w:hAnsi="仿宋" w:eastAsia="仿宋" w:cs="宋体"/>
          <w:color w:val="000000" w:themeColor="text1"/>
          <w:sz w:val="32"/>
          <w:szCs w:val="28"/>
          <w14:textFill>
            <w14:solidFill>
              <w14:schemeClr w14:val="tx1"/>
            </w14:solidFill>
          </w14:textFill>
        </w:rPr>
      </w:pPr>
    </w:p>
    <w:p>
      <w:pPr>
        <w:ind w:firstLine="643" w:firstLineChars="200"/>
        <w:rPr>
          <w:rFonts w:ascii="仿宋" w:hAnsi="仿宋" w:eastAsia="仿宋" w:cs="宋体"/>
          <w:b/>
          <w:color w:val="000000" w:themeColor="text1"/>
          <w:sz w:val="32"/>
          <w:szCs w:val="28"/>
          <w14:textFill>
            <w14:solidFill>
              <w14:schemeClr w14:val="tx1"/>
            </w14:solidFill>
          </w14:textFill>
        </w:rPr>
      </w:pPr>
      <w:r>
        <w:rPr>
          <w:rFonts w:hint="eastAsia" w:ascii="仿宋" w:hAnsi="仿宋" w:eastAsia="仿宋" w:cs="宋体"/>
          <w:b/>
          <w:color w:val="000000" w:themeColor="text1"/>
          <w:sz w:val="32"/>
          <w:szCs w:val="28"/>
          <w14:textFill>
            <w14:solidFill>
              <w14:schemeClr w14:val="tx1"/>
            </w14:solidFill>
          </w14:textFill>
        </w:rPr>
        <w:t>图12-2：</w:t>
      </w:r>
    </w:p>
    <w:p>
      <w:pPr>
        <w:widowControl/>
        <w:jc w:val="center"/>
        <w:rPr>
          <w:rFonts w:ascii="仿宋" w:hAnsi="仿宋" w:eastAsia="仿宋" w:cs="宋体"/>
          <w:color w:val="C00000"/>
          <w:kern w:val="0"/>
          <w:sz w:val="24"/>
        </w:rPr>
      </w:pPr>
      <w:r>
        <w:rPr>
          <w:rFonts w:ascii="仿宋" w:hAnsi="仿宋" w:eastAsia="仿宋" w:cs="宋体"/>
          <w:color w:val="C00000"/>
          <w:kern w:val="0"/>
          <w:sz w:val="24"/>
        </w:rPr>
        <w:drawing>
          <wp:inline distT="0" distB="0" distL="0" distR="0">
            <wp:extent cx="5195570" cy="2428875"/>
            <wp:effectExtent l="0" t="0" r="5080" b="9525"/>
            <wp:docPr id="24" name="图片 11" descr="C:\Users\Administrator\AppData\Roaming\Tencent\Users\308672387\QQ\WinTemp\RichOle\]{GJQNUOZ{TTD[FWB@%R35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descr="C:\Users\Administrator\AppData\Roaming\Tencent\Users\308672387\QQ\WinTemp\RichOle\]{GJQNUOZ{TTD[FWB@%R35W.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195764" cy="2428875"/>
                    </a:xfrm>
                    <a:prstGeom prst="rect">
                      <a:avLst/>
                    </a:prstGeom>
                    <a:noFill/>
                    <a:ln>
                      <a:noFill/>
                    </a:ln>
                  </pic:spPr>
                </pic:pic>
              </a:graphicData>
            </a:graphic>
          </wp:inline>
        </w:drawing>
      </w:r>
    </w:p>
    <w:p>
      <w:pPr>
        <w:widowControl/>
        <w:jc w:val="center"/>
        <w:rPr>
          <w:rFonts w:ascii="仿宋" w:hAnsi="仿宋" w:eastAsia="仿宋" w:cs="宋体"/>
          <w:color w:val="C00000"/>
          <w:kern w:val="0"/>
          <w:sz w:val="24"/>
        </w:rPr>
      </w:pPr>
    </w:p>
    <w:p>
      <w:pPr>
        <w:ind w:firstLine="640" w:firstLineChars="200"/>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5、学校将根据教学计划及企业的生产计划，安排学生到企业参观，同时进行现场教学。</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6、安排教师下企业实践、锻炼，并</w:t>
      </w:r>
      <w:r>
        <w:rPr>
          <w:rFonts w:hint="eastAsia" w:ascii="仿宋" w:hAnsi="仿宋" w:eastAsia="仿宋"/>
          <w:color w:val="000000" w:themeColor="text1"/>
          <w:sz w:val="32"/>
          <w:szCs w:val="32"/>
          <w14:textFill>
            <w14:solidFill>
              <w14:schemeClr w14:val="tx1"/>
            </w14:solidFill>
          </w14:textFill>
        </w:rPr>
        <w:t>聘请企业专家进课堂，定期召开教学研讨会，总结经验、扬长避短。</w:t>
      </w:r>
    </w:p>
    <w:p>
      <w:pPr>
        <w:ind w:firstLine="640" w:firstLineChars="200"/>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7、学生</w:t>
      </w:r>
      <w:r>
        <w:rPr>
          <w:rFonts w:hint="eastAsia" w:ascii="仿宋" w:hAnsi="仿宋" w:eastAsia="仿宋" w:cs="宋体"/>
          <w:color w:val="000000" w:themeColor="text1"/>
          <w:sz w:val="32"/>
          <w:szCs w:val="28"/>
          <w14:textFill>
            <w14:solidFill>
              <w14:schemeClr w14:val="tx1"/>
            </w14:solidFill>
          </w14:textFill>
        </w:rPr>
        <w:t xml:space="preserve">顶岗实习，必须按企业制度进行严格的考核，学生就业时，也必须进行严格的笔试、面试、体检等。对于成绩特别优秀的学生，可以考虑有晋升机会时优先处理。 </w:t>
      </w:r>
    </w:p>
    <w:p>
      <w:pPr>
        <w:ind w:firstLine="640" w:firstLineChars="200"/>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8、根据专业课程特点，聘请企业行业专家与学校教师共同组建“专业教学指导委员会”。</w:t>
      </w:r>
    </w:p>
    <w:p>
      <w:pP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四、预期成效</w:t>
      </w:r>
    </w:p>
    <w:p>
      <w:pP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（一）企业预期成效</w:t>
      </w:r>
    </w:p>
    <w:p>
      <w:pPr>
        <w:ind w:firstLine="640" w:firstLineChars="200"/>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1、可以解决企业招工难的迫切问题。</w:t>
      </w:r>
    </w:p>
    <w:p>
      <w:pPr>
        <w:ind w:firstLine="640" w:firstLineChars="200"/>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2、可以优先挑选录用顶岗实习中表现出色的学生，有利于提高员工素质，保障产品质量。</w:t>
      </w:r>
    </w:p>
    <w:p>
      <w:pPr>
        <w:ind w:firstLine="640" w:firstLineChars="200"/>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3、联办企业可以利用学校教师的专业优势进行新产品的设计、包装、销售等，增加获利点。</w:t>
      </w:r>
    </w:p>
    <w:p>
      <w:pPr>
        <w:ind w:firstLine="640" w:firstLineChars="200"/>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4、联办企业可以通过设立冠名班等方式，传播企业文化，提升企业品牌和无资产</w:t>
      </w:r>
    </w:p>
    <w:p>
      <w:pP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（二）学校预期成效</w:t>
      </w:r>
    </w:p>
    <w:p>
      <w:pPr>
        <w:ind w:firstLine="640" w:firstLineChars="200"/>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1、学生到企业参加实践教学，可以减少学校对实习实训设备的投入。</w:t>
      </w:r>
    </w:p>
    <w:p>
      <w:pPr>
        <w:ind w:firstLine="640" w:firstLineChars="200"/>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2、企业中具有实践经验的专业实习指导教师的加入，有效的解决了学校对专业人才的需求。</w:t>
      </w:r>
    </w:p>
    <w:p>
      <w:pPr>
        <w:ind w:firstLine="640" w:firstLineChars="200"/>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3、对学校的就业，产生一个品牌效应。</w:t>
      </w:r>
    </w:p>
    <w:p>
      <w:pP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（三）个人预期成效</w:t>
      </w:r>
    </w:p>
    <w:p>
      <w:pPr>
        <w:ind w:firstLine="640" w:firstLineChars="200"/>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1、可以实现学与做的真正融合，不至于脱节，为今后的就业、创业打下了坚实的专业技能基础。</w:t>
      </w:r>
    </w:p>
    <w:p>
      <w:pPr>
        <w:ind w:firstLine="640" w:firstLineChars="200"/>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2、学生学以致用，与企业无缝对接，毕业即就业，避免了失业的可能。</w:t>
      </w:r>
    </w:p>
    <w:p>
      <w:pPr>
        <w:widowControl/>
        <w:spacing w:before="100" w:beforeAutospacing="1" w:after="100" w:afterAutospacing="1" w:line="555" w:lineRule="atLeast"/>
        <w:jc w:val="left"/>
        <w:rPr>
          <w:rFonts w:ascii="仿宋" w:hAnsi="仿宋" w:eastAsia="仿宋" w:cs="仿宋_GB2312"/>
          <w:b/>
          <w:bCs/>
          <w:color w:val="000000" w:themeColor="text1"/>
          <w:kern w:val="0"/>
          <w:sz w:val="36"/>
          <w:szCs w:val="36"/>
          <w14:textFill>
            <w14:solidFill>
              <w14:schemeClr w14:val="tx1"/>
            </w14:solidFill>
          </w14:textFill>
        </w:rPr>
      </w:pPr>
      <w:r>
        <w:rPr>
          <w:rFonts w:hint="eastAsia" w:ascii="仿宋" w:hAnsi="仿宋" w:eastAsia="仿宋" w:cs="仿宋_GB2312"/>
          <w:b/>
          <w:bCs/>
          <w:color w:val="000000" w:themeColor="text1"/>
          <w:kern w:val="0"/>
          <w:sz w:val="36"/>
          <w:szCs w:val="36"/>
          <w14:textFill>
            <w14:solidFill>
              <w14:schemeClr w14:val="tx1"/>
            </w14:solidFill>
          </w14:textFill>
        </w:rPr>
        <w:t>八、主要问题和改进措施</w:t>
      </w:r>
    </w:p>
    <w:p>
      <w:pPr>
        <w:pStyle w:val="6"/>
        <w:spacing w:before="0" w:beforeAutospacing="0" w:after="0" w:afterAutospacing="0" w:line="360" w:lineRule="auto"/>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（一）人才培养中存</w:t>
      </w:r>
      <w:r>
        <w:rPr>
          <w:rFonts w:ascii="仿宋" w:hAnsi="仿宋" w:eastAsia="仿宋"/>
          <w:b/>
          <w:color w:val="000000" w:themeColor="text1"/>
          <w:sz w:val="30"/>
          <w:szCs w:val="30"/>
          <w14:textFill>
            <w14:solidFill>
              <w14:schemeClr w14:val="tx1"/>
            </w14:solidFill>
          </w14:textFill>
        </w:rPr>
        <w:t>在问题</w:t>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1、没有构成有效专业群，没有形成专业特色品牌，对学生家长吸引力不够，招生难度大。</w:t>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 xml:space="preserve">2、技能型教师仍有不足，缺少实习实训指导教师和专业课教师。 </w:t>
      </w:r>
    </w:p>
    <w:p>
      <w:pPr>
        <w:pStyle w:val="6"/>
        <w:spacing w:before="0" w:beforeAutospacing="0" w:after="0" w:afterAutospacing="0" w:line="360" w:lineRule="auto"/>
        <w:rPr>
          <w:rFonts w:ascii="仿宋" w:hAnsi="仿宋" w:eastAsia="仿宋"/>
          <w:b/>
          <w:bCs/>
          <w:color w:val="000000" w:themeColor="text1"/>
          <w:sz w:val="30"/>
          <w:szCs w:val="30"/>
          <w14:textFill>
            <w14:solidFill>
              <w14:schemeClr w14:val="tx1"/>
            </w14:solidFill>
          </w14:textFill>
        </w:rPr>
      </w:pPr>
      <w:bookmarkStart w:id="3" w:name="_Toc491878195"/>
      <w:bookmarkStart w:id="4" w:name="_Toc503174900"/>
      <w:r>
        <w:rPr>
          <w:rFonts w:hint="eastAsia" w:ascii="仿宋" w:hAnsi="仿宋" w:eastAsia="仿宋"/>
          <w:b/>
          <w:bCs/>
          <w:color w:val="000000" w:themeColor="text1"/>
          <w:sz w:val="30"/>
          <w:szCs w:val="30"/>
          <w14:textFill>
            <w14:solidFill>
              <w14:schemeClr w14:val="tx1"/>
            </w14:solidFill>
          </w14:textFill>
        </w:rPr>
        <w:t>（二）改进措施</w:t>
      </w:r>
      <w:bookmarkEnd w:id="3"/>
      <w:bookmarkEnd w:id="4"/>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1、加强宣传引导，构建良好氛围。通过开展为民服务、校园开放、职业教育政策法规宣传等活动。让社会、学生、家长更全面、更深入地解了我校。</w:t>
      </w:r>
    </w:p>
    <w:p>
      <w:pPr>
        <w:pStyle w:val="6"/>
        <w:spacing w:before="0" w:beforeAutospacing="0" w:after="0" w:afterAutospacing="0" w:line="360" w:lineRule="auto"/>
        <w:ind w:firstLine="640" w:firstLineChars="200"/>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2、</w:t>
      </w:r>
      <w:r>
        <w:rPr>
          <w:rFonts w:ascii="仿宋" w:hAnsi="仿宋" w:eastAsia="仿宋" w:cstheme="minorBidi"/>
          <w:color w:val="000000" w:themeColor="text1"/>
          <w:kern w:val="2"/>
          <w:sz w:val="32"/>
          <w:szCs w:val="32"/>
          <w14:textFill>
            <w14:solidFill>
              <w14:schemeClr w14:val="tx1"/>
            </w14:solidFill>
          </w14:textFill>
        </w:rPr>
        <w:t>把握“双师型”教师的内涵</w:t>
      </w:r>
      <w:r>
        <w:rPr>
          <w:rFonts w:hint="eastAsia" w:ascii="仿宋" w:hAnsi="仿宋" w:eastAsia="仿宋" w:cstheme="minorBidi"/>
          <w:color w:val="000000" w:themeColor="text1"/>
          <w:kern w:val="2"/>
          <w:sz w:val="32"/>
          <w:szCs w:val="32"/>
          <w14:textFill>
            <w14:solidFill>
              <w14:schemeClr w14:val="tx1"/>
            </w14:solidFill>
          </w14:textFill>
        </w:rPr>
        <w:t>，加强师资队伍建设。通过对现有教师的培训，更新其职业教育理念，提升其业务水平；建立人才引进机制，吸引优秀的专业技能人才。</w:t>
      </w:r>
    </w:p>
    <w:p>
      <w:pPr>
        <w:ind w:firstLine="640" w:firstLineChars="200"/>
        <w:rPr>
          <w:rFonts w:ascii="仿宋" w:hAnsi="仿宋" w:eastAsia="仿宋"/>
          <w:color w:val="000000" w:themeColor="text1"/>
          <w:sz w:val="32"/>
          <w:szCs w:val="32"/>
          <w14:textFill>
            <w14:solidFill>
              <w14:schemeClr w14:val="tx1"/>
            </w14:solidFill>
          </w14:textFill>
        </w:rPr>
      </w:pPr>
    </w:p>
    <w:p>
      <w:pPr>
        <w:pStyle w:val="6"/>
        <w:rPr>
          <w:rFonts w:ascii="仿宋" w:hAnsi="仿宋" w:eastAsia="仿宋" w:cstheme="minorBidi"/>
          <w:color w:val="000000" w:themeColor="text1"/>
          <w:kern w:val="2"/>
          <w:sz w:val="32"/>
          <w:szCs w:val="32"/>
          <w14:textFill>
            <w14:solidFill>
              <w14:schemeClr w14:val="tx1"/>
            </w14:solidFill>
          </w14:textFill>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ihQUM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s&#10;sj59gBrT7gMmpuGdHzB39gM6M+1BRZu/SIhgHNU9X9WVQyIiP1qv1usKQwJj8wXx2cPzECG9l96S&#10;bDQ04viKqvz0EdKYOqfkas7faWPKCI37x4GY2cNy72OP2UrDfpgI7X17Rj49Tr6hDhedEvPBobB5&#10;SWYjzsZ+MnINCLfHhIVLPxl1hJqK4ZgKo2ml8h48vpesh99o+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8ihQUMEBAACOAwAADgAAAAAAAAABACAAAAAeAQAAZHJzL2Uyb0RvYy54bWxQSwUG&#10;AAAAAAYABgBZAQAAUQU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C3ED7"/>
    <w:multiLevelType w:val="singleLevel"/>
    <w:tmpl w:val="E37C3ED7"/>
    <w:lvl w:ilvl="0" w:tentative="0">
      <w:start w:val="1"/>
      <w:numFmt w:val="chineseCounting"/>
      <w:suff w:val="nothing"/>
      <w:lvlText w:val="%1、"/>
      <w:lvlJc w:val="left"/>
      <w:rPr>
        <w:rFonts w:hint="eastAsia"/>
      </w:rPr>
    </w:lvl>
  </w:abstractNum>
  <w:abstractNum w:abstractNumId="1">
    <w:nsid w:val="1B966E7C"/>
    <w:multiLevelType w:val="multilevel"/>
    <w:tmpl w:val="1B966E7C"/>
    <w:lvl w:ilvl="0" w:tentative="0">
      <w:start w:val="7"/>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9790EF1"/>
    <w:multiLevelType w:val="multilevel"/>
    <w:tmpl w:val="39790EF1"/>
    <w:lvl w:ilvl="0" w:tentative="0">
      <w:start w:val="2"/>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DED"/>
    <w:rsid w:val="000E02C8"/>
    <w:rsid w:val="001E03D9"/>
    <w:rsid w:val="00362EBB"/>
    <w:rsid w:val="00630FDA"/>
    <w:rsid w:val="00703AE9"/>
    <w:rsid w:val="007C2828"/>
    <w:rsid w:val="00814DED"/>
    <w:rsid w:val="00833080"/>
    <w:rsid w:val="008D3A1D"/>
    <w:rsid w:val="00A3608F"/>
    <w:rsid w:val="00B224DB"/>
    <w:rsid w:val="00ED5EF7"/>
    <w:rsid w:val="023248EC"/>
    <w:rsid w:val="02A33E3D"/>
    <w:rsid w:val="04765D07"/>
    <w:rsid w:val="057E3E54"/>
    <w:rsid w:val="06447774"/>
    <w:rsid w:val="09B22A1F"/>
    <w:rsid w:val="0CDF2D7A"/>
    <w:rsid w:val="0F87568B"/>
    <w:rsid w:val="100A7866"/>
    <w:rsid w:val="10B963FE"/>
    <w:rsid w:val="140E2322"/>
    <w:rsid w:val="140E381A"/>
    <w:rsid w:val="18606326"/>
    <w:rsid w:val="18BD09EF"/>
    <w:rsid w:val="1CA378BB"/>
    <w:rsid w:val="1CBB5BB3"/>
    <w:rsid w:val="1D241D49"/>
    <w:rsid w:val="1EE87632"/>
    <w:rsid w:val="210A2E5C"/>
    <w:rsid w:val="2159145F"/>
    <w:rsid w:val="22B85881"/>
    <w:rsid w:val="26767AAE"/>
    <w:rsid w:val="277A0BDE"/>
    <w:rsid w:val="28F26C27"/>
    <w:rsid w:val="29545378"/>
    <w:rsid w:val="2A7518BD"/>
    <w:rsid w:val="2BD91ED3"/>
    <w:rsid w:val="2E04016F"/>
    <w:rsid w:val="2F4D2769"/>
    <w:rsid w:val="30E97A08"/>
    <w:rsid w:val="3466157E"/>
    <w:rsid w:val="363B0058"/>
    <w:rsid w:val="374B2C9F"/>
    <w:rsid w:val="37705DEE"/>
    <w:rsid w:val="37C47FF8"/>
    <w:rsid w:val="396C68B9"/>
    <w:rsid w:val="3A1922D9"/>
    <w:rsid w:val="3C005F02"/>
    <w:rsid w:val="3DCE4041"/>
    <w:rsid w:val="3F352A29"/>
    <w:rsid w:val="4153050A"/>
    <w:rsid w:val="4222007C"/>
    <w:rsid w:val="432D3A2B"/>
    <w:rsid w:val="437B0FC3"/>
    <w:rsid w:val="46B223C4"/>
    <w:rsid w:val="46BB15C7"/>
    <w:rsid w:val="476A6E5E"/>
    <w:rsid w:val="486270A0"/>
    <w:rsid w:val="498C798D"/>
    <w:rsid w:val="4B810E53"/>
    <w:rsid w:val="4C2E57E4"/>
    <w:rsid w:val="50127FF3"/>
    <w:rsid w:val="56A60CD6"/>
    <w:rsid w:val="584B5EA4"/>
    <w:rsid w:val="589A65CB"/>
    <w:rsid w:val="5A6741EC"/>
    <w:rsid w:val="5AAD10A0"/>
    <w:rsid w:val="5AEA5304"/>
    <w:rsid w:val="5C1130D6"/>
    <w:rsid w:val="5D837AFD"/>
    <w:rsid w:val="5E641370"/>
    <w:rsid w:val="6146235D"/>
    <w:rsid w:val="62D43136"/>
    <w:rsid w:val="64AF7C1C"/>
    <w:rsid w:val="657D3EC4"/>
    <w:rsid w:val="66C93503"/>
    <w:rsid w:val="69B66CF5"/>
    <w:rsid w:val="69ED1B87"/>
    <w:rsid w:val="6D2C414E"/>
    <w:rsid w:val="6E1D6D46"/>
    <w:rsid w:val="6E24291A"/>
    <w:rsid w:val="6E836897"/>
    <w:rsid w:val="6FC759D6"/>
    <w:rsid w:val="70DA1ED2"/>
    <w:rsid w:val="71514D66"/>
    <w:rsid w:val="71AF508A"/>
    <w:rsid w:val="72A53221"/>
    <w:rsid w:val="73EA2E90"/>
    <w:rsid w:val="74223755"/>
    <w:rsid w:val="747E4659"/>
    <w:rsid w:val="74D56542"/>
    <w:rsid w:val="74EC2BD0"/>
    <w:rsid w:val="756E4F24"/>
    <w:rsid w:val="78CC4187"/>
    <w:rsid w:val="78D97266"/>
    <w:rsid w:val="7A583958"/>
    <w:rsid w:val="7E2E5D96"/>
    <w:rsid w:val="7ED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3"/>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2B2B2B"/>
      <w:u w:val="none"/>
    </w:rPr>
  </w:style>
  <w:style w:type="paragraph" w:styleId="11">
    <w:name w:val="List Paragraph"/>
    <w:basedOn w:val="1"/>
    <w:qFormat/>
    <w:uiPriority w:val="34"/>
    <w:pPr>
      <w:ind w:firstLine="420" w:firstLineChars="200"/>
    </w:pPr>
  </w:style>
  <w:style w:type="character" w:customStyle="1" w:styleId="12">
    <w:name w:val="批注框文本 Char"/>
    <w:basedOn w:val="9"/>
    <w:link w:val="3"/>
    <w:semiHidden/>
    <w:qFormat/>
    <w:uiPriority w:val="99"/>
    <w:rPr>
      <w:sz w:val="18"/>
      <w:szCs w:val="18"/>
    </w:rPr>
  </w:style>
  <w:style w:type="character" w:customStyle="1" w:styleId="13">
    <w:name w:val="标题 2 Char"/>
    <w:basedOn w:val="9"/>
    <w:link w:val="2"/>
    <w:qFormat/>
    <w:uiPriority w:val="0"/>
    <w:rPr>
      <w:rFonts w:ascii="宋体" w:hAnsi="宋体" w:eastAsia="宋体" w:cs="Times New Roman"/>
      <w:b/>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image" Target="media/image5.jpeg"/><Relationship Id="rId16" Type="http://schemas.openxmlformats.org/officeDocument/2006/relationships/image" Target="media/image4.png"/><Relationship Id="rId15" Type="http://schemas.openxmlformats.org/officeDocument/2006/relationships/image" Target="media/image3.jpeg"/><Relationship Id="rId14" Type="http://schemas.openxmlformats.org/officeDocument/2006/relationships/image" Target="media/image2.emf"/><Relationship Id="rId13" Type="http://schemas.openxmlformats.org/officeDocument/2006/relationships/image" Target="media/image1.png"/><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学生规模对照图</a:t>
            </a:r>
            <a:endParaRPr lang="zh-CN" altLang="en-US"/>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2018</c:v>
                </c:pt>
              </c:strCache>
            </c:strRef>
          </c:tx>
          <c:spPr>
            <a:solidFill>
              <a:schemeClr val="accent1"/>
            </a:solidFill>
            <a:ln>
              <a:noFill/>
            </a:ln>
            <a:effectLst/>
          </c:spPr>
          <c:invertIfNegative val="0"/>
          <c:dLbls>
            <c:delete val="1"/>
          </c:dLbls>
          <c:cat>
            <c:strRef>
              <c:f>[工作簿1]Sheet1!$B$1:$C$1</c:f>
              <c:strCache>
                <c:ptCount val="2"/>
                <c:pt idx="0">
                  <c:v>在校人数</c:v>
                </c:pt>
                <c:pt idx="1">
                  <c:v>招收新生</c:v>
                </c:pt>
              </c:strCache>
            </c:strRef>
          </c:cat>
          <c:val>
            <c:numRef>
              <c:f>[工作簿1]Sheet1!$B$2:$C$2</c:f>
              <c:numCache>
                <c:formatCode>General</c:formatCode>
                <c:ptCount val="2"/>
                <c:pt idx="0">
                  <c:v>2063</c:v>
                </c:pt>
                <c:pt idx="1">
                  <c:v>1098</c:v>
                </c:pt>
              </c:numCache>
            </c:numRef>
          </c:val>
        </c:ser>
        <c:ser>
          <c:idx val="1"/>
          <c:order val="1"/>
          <c:tx>
            <c:strRef>
              <c:f>[工作簿1]Sheet1!$A$3</c:f>
              <c:strCache>
                <c:ptCount val="1"/>
                <c:pt idx="0">
                  <c:v>2019</c:v>
                </c:pt>
              </c:strCache>
            </c:strRef>
          </c:tx>
          <c:spPr>
            <a:solidFill>
              <a:schemeClr val="accent2"/>
            </a:solidFill>
            <a:ln>
              <a:noFill/>
            </a:ln>
            <a:effectLst/>
          </c:spPr>
          <c:invertIfNegative val="0"/>
          <c:dLbls>
            <c:delete val="1"/>
          </c:dLbls>
          <c:cat>
            <c:strRef>
              <c:f>[工作簿1]Sheet1!$B$1:$C$1</c:f>
              <c:strCache>
                <c:ptCount val="2"/>
                <c:pt idx="0">
                  <c:v>在校人数</c:v>
                </c:pt>
                <c:pt idx="1">
                  <c:v>招收新生</c:v>
                </c:pt>
              </c:strCache>
            </c:strRef>
          </c:cat>
          <c:val>
            <c:numRef>
              <c:f>[工作簿1]Sheet1!$B$3:$C$3</c:f>
              <c:numCache>
                <c:formatCode>General</c:formatCode>
                <c:ptCount val="2"/>
                <c:pt idx="0">
                  <c:v>3960</c:v>
                </c:pt>
                <c:pt idx="1">
                  <c:v>1970</c:v>
                </c:pt>
              </c:numCache>
            </c:numRef>
          </c:val>
        </c:ser>
        <c:dLbls>
          <c:showLegendKey val="0"/>
          <c:showVal val="0"/>
          <c:showCatName val="0"/>
          <c:showSerName val="0"/>
          <c:showPercent val="0"/>
          <c:showBubbleSize val="0"/>
        </c:dLbls>
        <c:gapWidth val="219"/>
        <c:overlap val="-27"/>
        <c:axId val="339995264"/>
        <c:axId val="342824064"/>
      </c:barChart>
      <c:catAx>
        <c:axId val="3399952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2824064"/>
        <c:crosses val="autoZero"/>
        <c:auto val="1"/>
        <c:lblAlgn val="ctr"/>
        <c:lblOffset val="100"/>
        <c:noMultiLvlLbl val="0"/>
      </c:catAx>
      <c:valAx>
        <c:axId val="3428240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99952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学生情况与上年度相比变化</a:t>
            </a:r>
            <a:endParaRPr lang="zh-CN" altLang="en-US"/>
          </a:p>
        </c:rich>
      </c:tx>
      <c:layout/>
      <c:overlay val="0"/>
      <c:spPr>
        <a:noFill/>
        <a:ln>
          <a:noFill/>
        </a:ln>
        <a:effectLst/>
      </c:spPr>
    </c:title>
    <c:autoTitleDeleted val="0"/>
    <c:plotArea>
      <c:layout/>
      <c:barChart>
        <c:barDir val="col"/>
        <c:grouping val="clustered"/>
        <c:varyColors val="0"/>
        <c:ser>
          <c:idx val="0"/>
          <c:order val="0"/>
          <c:tx>
            <c:strRef>
              <c:f>[工作簿1]Sheet1!$A$6</c:f>
              <c:strCache>
                <c:ptCount val="1"/>
                <c:pt idx="0">
                  <c:v>2018</c:v>
                </c:pt>
              </c:strCache>
            </c:strRef>
          </c:tx>
          <c:spPr>
            <a:solidFill>
              <a:schemeClr val="accent1"/>
            </a:solidFill>
            <a:ln>
              <a:noFill/>
            </a:ln>
            <a:effectLst/>
          </c:spPr>
          <c:invertIfNegative val="0"/>
          <c:dLbls>
            <c:delete val="1"/>
          </c:dLbls>
          <c:cat>
            <c:strRef>
              <c:f>[工作簿1]Sheet1!$B$5:$E$5</c:f>
              <c:strCache>
                <c:ptCount val="4"/>
                <c:pt idx="0">
                  <c:v>入校人数</c:v>
                </c:pt>
                <c:pt idx="1">
                  <c:v>就业人数</c:v>
                </c:pt>
                <c:pt idx="2">
                  <c:v>毕业人数</c:v>
                </c:pt>
                <c:pt idx="3">
                  <c:v>职业资格证考证人数</c:v>
                </c:pt>
              </c:strCache>
            </c:strRef>
          </c:cat>
          <c:val>
            <c:numRef>
              <c:f>[工作簿1]Sheet1!$B$6:$E$6</c:f>
              <c:numCache>
                <c:formatCode>General</c:formatCode>
                <c:ptCount val="4"/>
                <c:pt idx="0">
                  <c:v>1098</c:v>
                </c:pt>
                <c:pt idx="1">
                  <c:v>775</c:v>
                </c:pt>
                <c:pt idx="2">
                  <c:v>789</c:v>
                </c:pt>
                <c:pt idx="3">
                  <c:v>610</c:v>
                </c:pt>
              </c:numCache>
            </c:numRef>
          </c:val>
        </c:ser>
        <c:ser>
          <c:idx val="1"/>
          <c:order val="1"/>
          <c:tx>
            <c:strRef>
              <c:f>[工作簿1]Sheet1!$A$7</c:f>
              <c:strCache>
                <c:ptCount val="1"/>
                <c:pt idx="0">
                  <c:v>2019</c:v>
                </c:pt>
              </c:strCache>
            </c:strRef>
          </c:tx>
          <c:spPr>
            <a:solidFill>
              <a:schemeClr val="accent2"/>
            </a:solidFill>
            <a:ln>
              <a:noFill/>
            </a:ln>
            <a:effectLst/>
          </c:spPr>
          <c:invertIfNegative val="0"/>
          <c:dLbls>
            <c:delete val="1"/>
          </c:dLbls>
          <c:cat>
            <c:strRef>
              <c:f>[工作簿1]Sheet1!$B$5:$E$5</c:f>
              <c:strCache>
                <c:ptCount val="4"/>
                <c:pt idx="0">
                  <c:v>入校人数</c:v>
                </c:pt>
                <c:pt idx="1">
                  <c:v>就业人数</c:v>
                </c:pt>
                <c:pt idx="2">
                  <c:v>毕业人数</c:v>
                </c:pt>
                <c:pt idx="3">
                  <c:v>职业资格证考证人数</c:v>
                </c:pt>
              </c:strCache>
            </c:strRef>
          </c:cat>
          <c:val>
            <c:numRef>
              <c:f>[工作簿1]Sheet1!$B$7:$E$7</c:f>
              <c:numCache>
                <c:formatCode>General</c:formatCode>
                <c:ptCount val="4"/>
                <c:pt idx="0">
                  <c:v>1970</c:v>
                </c:pt>
                <c:pt idx="1">
                  <c:v>489</c:v>
                </c:pt>
                <c:pt idx="2">
                  <c:v>500</c:v>
                </c:pt>
                <c:pt idx="3">
                  <c:v>492</c:v>
                </c:pt>
              </c:numCache>
            </c:numRef>
          </c:val>
        </c:ser>
        <c:dLbls>
          <c:showLegendKey val="0"/>
          <c:showVal val="0"/>
          <c:showCatName val="0"/>
          <c:showSerName val="0"/>
          <c:showPercent val="0"/>
          <c:showBubbleSize val="0"/>
        </c:dLbls>
        <c:gapWidth val="219"/>
        <c:overlap val="-27"/>
        <c:axId val="136453120"/>
        <c:axId val="136467200"/>
      </c:barChart>
      <c:catAx>
        <c:axId val="13645312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467200"/>
        <c:crosses val="autoZero"/>
        <c:auto val="1"/>
        <c:lblAlgn val="ctr"/>
        <c:lblOffset val="100"/>
        <c:noMultiLvlLbl val="0"/>
      </c:catAx>
      <c:valAx>
        <c:axId val="1364672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4531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年度设备总价值（万元）</a:t>
            </a:r>
            <a:endParaRPr lang="zh-CN" altLang="en-US"/>
          </a:p>
        </c:rich>
      </c:tx>
      <c:layout/>
      <c:overlay val="0"/>
    </c:title>
    <c:autoTitleDeleted val="0"/>
    <c:plotArea>
      <c:layout>
        <c:manualLayout>
          <c:layoutTarget val="inner"/>
          <c:xMode val="edge"/>
          <c:yMode val="edge"/>
          <c:x val="0.134977875058037"/>
          <c:y val="0.109401526047634"/>
          <c:w val="0.515474572898604"/>
          <c:h val="0.767392636291981"/>
        </c:manualLayout>
      </c:layout>
      <c:barChart>
        <c:barDir val="col"/>
        <c:grouping val="clustered"/>
        <c:varyColors val="0"/>
        <c:ser>
          <c:idx val="0"/>
          <c:order val="0"/>
          <c:tx>
            <c:strRef>
              <c:f>Sheet1!$B$1</c:f>
              <c:strCache>
                <c:ptCount val="1"/>
                <c:pt idx="0">
                  <c:v>2017年设备总价值</c:v>
                </c:pt>
              </c:strCache>
            </c:strRef>
          </c:tx>
          <c:spPr>
            <a:solidFill>
              <a:srgbClr val="FF0000"/>
            </a:solidFill>
          </c:spPr>
          <c:invertIfNegative val="0"/>
          <c:dPt>
            <c:idx val="0"/>
            <c:invertIfNegative val="0"/>
            <c:bubble3D val="0"/>
            <c:spPr>
              <a:solidFill>
                <a:srgbClr val="00B0F0"/>
              </a:solidFill>
            </c:spPr>
          </c:dPt>
          <c:dLbls>
            <c:delete val="1"/>
          </c:dLbls>
          <c:cat>
            <c:numRef>
              <c:f>Sheet1!$A$2:$A$5</c:f>
              <c:numCache>
                <c:formatCode>General</c:formatCode>
                <c:ptCount val="4"/>
                <c:pt idx="0">
                  <c:v>2018</c:v>
                </c:pt>
                <c:pt idx="1">
                  <c:v>2019</c:v>
                </c:pt>
              </c:numCache>
            </c:numRef>
          </c:cat>
          <c:val>
            <c:numRef>
              <c:f>Sheet1!$B$2:$B$5</c:f>
              <c:numCache>
                <c:formatCode>General</c:formatCode>
                <c:ptCount val="4"/>
                <c:pt idx="0">
                  <c:v>1313.9</c:v>
                </c:pt>
                <c:pt idx="1">
                  <c:v>1583.9</c:v>
                </c:pt>
              </c:numCache>
            </c:numRef>
          </c:val>
        </c:ser>
        <c:dLbls>
          <c:showLegendKey val="0"/>
          <c:showVal val="0"/>
          <c:showCatName val="0"/>
          <c:showSerName val="0"/>
          <c:showPercent val="0"/>
          <c:showBubbleSize val="0"/>
        </c:dLbls>
        <c:gapWidth val="150"/>
        <c:axId val="136479872"/>
        <c:axId val="136481408"/>
      </c:barChart>
      <c:catAx>
        <c:axId val="13647987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481408"/>
        <c:crosses val="autoZero"/>
        <c:auto val="1"/>
        <c:lblAlgn val="ctr"/>
        <c:lblOffset val="100"/>
        <c:noMultiLvlLbl val="0"/>
      </c:catAx>
      <c:valAx>
        <c:axId val="1364814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47987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年度生均设备价值（元）</a:t>
            </a:r>
            <a:endParaRPr lang="zh-CN" altLang="en-US"/>
          </a:p>
        </c:rich>
      </c:tx>
      <c:layout/>
      <c:overlay val="0"/>
    </c:title>
    <c:autoTitleDeleted val="0"/>
    <c:plotArea>
      <c:layout/>
      <c:barChart>
        <c:barDir val="col"/>
        <c:grouping val="clustered"/>
        <c:varyColors val="0"/>
        <c:ser>
          <c:idx val="0"/>
          <c:order val="0"/>
          <c:tx>
            <c:strRef>
              <c:f>Sheet1!$B$1</c:f>
              <c:strCache>
                <c:ptCount val="1"/>
                <c:pt idx="0">
                  <c:v>2019年度生均工位数</c:v>
                </c:pt>
              </c:strCache>
            </c:strRef>
          </c:tx>
          <c:invertIfNegative val="0"/>
          <c:dPt>
            <c:idx val="1"/>
            <c:invertIfNegative val="0"/>
            <c:bubble3D val="0"/>
            <c:spPr>
              <a:solidFill>
                <a:srgbClr val="FF0000"/>
              </a:solidFill>
            </c:spPr>
          </c:dPt>
          <c:dLbls>
            <c:delete val="1"/>
          </c:dLbls>
          <c:cat>
            <c:numRef>
              <c:f>Sheet1!$A$2:$A$5</c:f>
              <c:numCache>
                <c:formatCode>General</c:formatCode>
                <c:ptCount val="4"/>
                <c:pt idx="0">
                  <c:v>2018</c:v>
                </c:pt>
                <c:pt idx="1">
                  <c:v>2019</c:v>
                </c:pt>
              </c:numCache>
            </c:numRef>
          </c:cat>
          <c:val>
            <c:numRef>
              <c:f>Sheet1!$B$2:$B$5</c:f>
              <c:numCache>
                <c:formatCode>General</c:formatCode>
                <c:ptCount val="4"/>
                <c:pt idx="0">
                  <c:v>6368.9</c:v>
                </c:pt>
                <c:pt idx="1">
                  <c:v>5045.9</c:v>
                </c:pt>
              </c:numCache>
            </c:numRef>
          </c:val>
        </c:ser>
        <c:dLbls>
          <c:showLegendKey val="0"/>
          <c:showVal val="0"/>
          <c:showCatName val="0"/>
          <c:showSerName val="0"/>
          <c:showPercent val="0"/>
          <c:showBubbleSize val="0"/>
        </c:dLbls>
        <c:gapWidth val="150"/>
        <c:axId val="136583808"/>
        <c:axId val="136606080"/>
      </c:barChart>
      <c:catAx>
        <c:axId val="13658380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606080"/>
        <c:crosses val="autoZero"/>
        <c:auto val="1"/>
        <c:lblAlgn val="ctr"/>
        <c:lblOffset val="100"/>
        <c:noMultiLvlLbl val="0"/>
      </c:catAx>
      <c:valAx>
        <c:axId val="1366060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58380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年度工位数（个）</a:t>
            </a:r>
            <a:endParaRPr lang="zh-CN" altLang="en-US"/>
          </a:p>
        </c:rich>
      </c:tx>
      <c:layout/>
      <c:overlay val="0"/>
    </c:title>
    <c:autoTitleDeleted val="0"/>
    <c:plotArea>
      <c:layout/>
      <c:barChart>
        <c:barDir val="col"/>
        <c:grouping val="stacked"/>
        <c:varyColors val="0"/>
        <c:ser>
          <c:idx val="0"/>
          <c:order val="0"/>
          <c:tx>
            <c:strRef>
              <c:f>Sheet1!$B$1</c:f>
              <c:strCache>
                <c:ptCount val="1"/>
                <c:pt idx="0">
                  <c:v>2019年度生均工位数</c:v>
                </c:pt>
              </c:strCache>
            </c:strRef>
          </c:tx>
          <c:invertIfNegative val="0"/>
          <c:dPt>
            <c:idx val="1"/>
            <c:invertIfNegative val="0"/>
            <c:bubble3D val="0"/>
            <c:spPr>
              <a:solidFill>
                <a:srgbClr val="FF0000"/>
              </a:solidFill>
            </c:spPr>
          </c:dPt>
          <c:dLbls>
            <c:delete val="1"/>
          </c:dLbls>
          <c:cat>
            <c:numRef>
              <c:f>Sheet1!$A$2:$A$5</c:f>
              <c:numCache>
                <c:formatCode>General</c:formatCode>
                <c:ptCount val="4"/>
                <c:pt idx="0">
                  <c:v>2018</c:v>
                </c:pt>
                <c:pt idx="1">
                  <c:v>2019</c:v>
                </c:pt>
              </c:numCache>
            </c:numRef>
          </c:cat>
          <c:val>
            <c:numRef>
              <c:f>Sheet1!$B$2:$B$5</c:f>
              <c:numCache>
                <c:formatCode>General</c:formatCode>
                <c:ptCount val="4"/>
                <c:pt idx="0">
                  <c:v>1022</c:v>
                </c:pt>
                <c:pt idx="1">
                  <c:v>1122</c:v>
                </c:pt>
              </c:numCache>
            </c:numRef>
          </c:val>
        </c:ser>
        <c:ser>
          <c:idx val="1"/>
          <c:order val="1"/>
          <c:tx>
            <c:strRef>
              <c:f>Sheet1!$C$1</c:f>
              <c:strCache>
                <c:ptCount val="1"/>
                <c:pt idx="0">
                  <c:v>2018年纸质图书</c:v>
                </c:pt>
              </c:strCache>
            </c:strRef>
          </c:tx>
          <c:invertIfNegative val="0"/>
          <c:dLbls>
            <c:delete val="1"/>
          </c:dLbls>
          <c:cat>
            <c:numRef>
              <c:f>Sheet1!$A$2:$A$5</c:f>
              <c:numCache>
                <c:formatCode>General</c:formatCode>
                <c:ptCount val="4"/>
                <c:pt idx="0">
                  <c:v>2018</c:v>
                </c:pt>
                <c:pt idx="1">
                  <c:v>2019</c:v>
                </c:pt>
              </c:numCache>
            </c:numRef>
          </c:cat>
          <c:val>
            <c:numRef>
              <c:f>Sheet1!$C$2:$C$5</c:f>
              <c:numCache>
                <c:formatCode>General</c:formatCode>
                <c:ptCount val="4"/>
              </c:numCache>
            </c:numRef>
          </c:val>
        </c:ser>
        <c:dLbls>
          <c:showLegendKey val="0"/>
          <c:showVal val="0"/>
          <c:showCatName val="0"/>
          <c:showSerName val="0"/>
          <c:showPercent val="0"/>
          <c:showBubbleSize val="0"/>
        </c:dLbls>
        <c:gapWidth val="150"/>
        <c:overlap val="100"/>
        <c:axId val="136635520"/>
        <c:axId val="136637056"/>
      </c:barChart>
      <c:catAx>
        <c:axId val="13663552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637056"/>
        <c:crosses val="autoZero"/>
        <c:auto val="1"/>
        <c:lblAlgn val="ctr"/>
        <c:lblOffset val="100"/>
        <c:noMultiLvlLbl val="0"/>
      </c:catAx>
      <c:valAx>
        <c:axId val="1366370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635520"/>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年纸质图书（册）</a:t>
            </a:r>
            <a:endParaRPr lang="zh-CN" altLang="en-US"/>
          </a:p>
        </c:rich>
      </c:tx>
      <c:layout/>
      <c:overlay val="0"/>
    </c:title>
    <c:autoTitleDeleted val="0"/>
    <c:plotArea>
      <c:layout>
        <c:manualLayout>
          <c:layoutTarget val="inner"/>
          <c:xMode val="edge"/>
          <c:yMode val="edge"/>
          <c:x val="0.0869931872234382"/>
          <c:y val="0.146553228834012"/>
          <c:w val="0.87454674663862"/>
          <c:h val="0.717010636828291"/>
        </c:manualLayout>
      </c:layout>
      <c:barChart>
        <c:barDir val="col"/>
        <c:grouping val="stacked"/>
        <c:varyColors val="0"/>
        <c:ser>
          <c:idx val="0"/>
          <c:order val="0"/>
          <c:tx>
            <c:strRef>
              <c:f>Sheet1!$B$1</c:f>
              <c:strCache>
                <c:ptCount val="1"/>
                <c:pt idx="0">
                  <c:v>2017年纸质图书（册）</c:v>
                </c:pt>
              </c:strCache>
            </c:strRef>
          </c:tx>
          <c:invertIfNegative val="0"/>
          <c:dPt>
            <c:idx val="1"/>
            <c:invertIfNegative val="0"/>
            <c:bubble3D val="0"/>
            <c:spPr>
              <a:solidFill>
                <a:srgbClr val="FF0000"/>
              </a:solidFill>
            </c:spPr>
          </c:dPt>
          <c:dLbls>
            <c:delete val="1"/>
          </c:dLbls>
          <c:cat>
            <c:numRef>
              <c:f>Sheet1!$A$2:$A$5</c:f>
              <c:numCache>
                <c:formatCode>General</c:formatCode>
                <c:ptCount val="4"/>
                <c:pt idx="0">
                  <c:v>2018</c:v>
                </c:pt>
                <c:pt idx="1">
                  <c:v>2019</c:v>
                </c:pt>
              </c:numCache>
            </c:numRef>
          </c:cat>
          <c:val>
            <c:numRef>
              <c:f>Sheet1!$B$2:$B$5</c:f>
              <c:numCache>
                <c:formatCode>General</c:formatCode>
                <c:ptCount val="4"/>
                <c:pt idx="0">
                  <c:v>23077</c:v>
                </c:pt>
                <c:pt idx="1">
                  <c:v>73077</c:v>
                </c:pt>
              </c:numCache>
            </c:numRef>
          </c:val>
        </c:ser>
        <c:dLbls>
          <c:showLegendKey val="0"/>
          <c:showVal val="0"/>
          <c:showCatName val="0"/>
          <c:showSerName val="0"/>
          <c:showPercent val="0"/>
          <c:showBubbleSize val="0"/>
        </c:dLbls>
        <c:gapWidth val="150"/>
        <c:overlap val="100"/>
        <c:axId val="262691456"/>
        <c:axId val="262693248"/>
      </c:barChart>
      <c:catAx>
        <c:axId val="26269145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2693248"/>
        <c:crosses val="autoZero"/>
        <c:auto val="1"/>
        <c:lblAlgn val="ctr"/>
        <c:lblOffset val="100"/>
        <c:noMultiLvlLbl val="0"/>
      </c:catAx>
      <c:valAx>
        <c:axId val="2626932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269145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学生素质情况对比图</a:t>
            </a:r>
            <a:endParaRPr lang="zh-CN" altLang="en-US"/>
          </a:p>
        </c:rich>
      </c:tx>
      <c:layout/>
      <c:overlay val="0"/>
      <c:spPr>
        <a:noFill/>
        <a:ln>
          <a:noFill/>
        </a:ln>
        <a:effectLst/>
      </c:spPr>
    </c:title>
    <c:autoTitleDeleted val="0"/>
    <c:plotArea>
      <c:layout>
        <c:manualLayout>
          <c:layoutTarget val="inner"/>
          <c:xMode val="edge"/>
          <c:yMode val="edge"/>
          <c:x val="0.0927222222222222"/>
          <c:y val="0.169444444444444"/>
          <c:w val="0.876722222222222"/>
          <c:h val="0.379259259259259"/>
        </c:manualLayout>
      </c:layout>
      <c:barChart>
        <c:barDir val="col"/>
        <c:grouping val="clustered"/>
        <c:varyColors val="0"/>
        <c:ser>
          <c:idx val="0"/>
          <c:order val="0"/>
          <c:tx>
            <c:strRef>
              <c:f>[工作簿1]Sheet1!$A$10</c:f>
              <c:strCache>
                <c:ptCount val="1"/>
                <c:pt idx="0">
                  <c:v>2018</c:v>
                </c:pt>
              </c:strCache>
            </c:strRef>
          </c:tx>
          <c:spPr>
            <a:solidFill>
              <a:schemeClr val="accent1"/>
            </a:solidFill>
            <a:ln>
              <a:noFill/>
            </a:ln>
            <a:effectLst/>
          </c:spPr>
          <c:invertIfNegative val="0"/>
          <c:dLbls>
            <c:delete val="1"/>
          </c:dLbls>
          <c:cat>
            <c:strRef>
              <c:f>[工作簿1]Sheet1!$B$9:$F$9</c:f>
              <c:strCache>
                <c:ptCount val="5"/>
                <c:pt idx="0">
                  <c:v>文化课合格率</c:v>
                </c:pt>
                <c:pt idx="1">
                  <c:v>体质测评合格率</c:v>
                </c:pt>
                <c:pt idx="2">
                  <c:v>专业技能合格率</c:v>
                </c:pt>
                <c:pt idx="3">
                  <c:v>职业资格证考证率</c:v>
                </c:pt>
                <c:pt idx="4">
                  <c:v>一次性毕业率</c:v>
                </c:pt>
              </c:strCache>
            </c:strRef>
          </c:cat>
          <c:val>
            <c:numRef>
              <c:f>[工作簿1]Sheet1!$B$10:$F$10</c:f>
              <c:numCache>
                <c:formatCode>0%</c:formatCode>
                <c:ptCount val="5"/>
                <c:pt idx="0">
                  <c:v>0.93</c:v>
                </c:pt>
                <c:pt idx="1">
                  <c:v>0.98</c:v>
                </c:pt>
                <c:pt idx="2">
                  <c:v>0.82</c:v>
                </c:pt>
                <c:pt idx="3">
                  <c:v>0.77</c:v>
                </c:pt>
                <c:pt idx="4">
                  <c:v>0.95</c:v>
                </c:pt>
              </c:numCache>
            </c:numRef>
          </c:val>
        </c:ser>
        <c:ser>
          <c:idx val="1"/>
          <c:order val="1"/>
          <c:tx>
            <c:strRef>
              <c:f>[工作簿1]Sheet1!$A$11</c:f>
              <c:strCache>
                <c:ptCount val="1"/>
                <c:pt idx="0">
                  <c:v>2019</c:v>
                </c:pt>
              </c:strCache>
            </c:strRef>
          </c:tx>
          <c:spPr>
            <a:solidFill>
              <a:schemeClr val="accent2"/>
            </a:solidFill>
            <a:ln>
              <a:noFill/>
            </a:ln>
            <a:effectLst/>
          </c:spPr>
          <c:invertIfNegative val="0"/>
          <c:dLbls>
            <c:delete val="1"/>
          </c:dLbls>
          <c:cat>
            <c:strRef>
              <c:f>[工作簿1]Sheet1!$B$9:$F$9</c:f>
              <c:strCache>
                <c:ptCount val="5"/>
                <c:pt idx="0">
                  <c:v>文化课合格率</c:v>
                </c:pt>
                <c:pt idx="1">
                  <c:v>体质测评合格率</c:v>
                </c:pt>
                <c:pt idx="2">
                  <c:v>专业技能合格率</c:v>
                </c:pt>
                <c:pt idx="3">
                  <c:v>职业资格证考证率</c:v>
                </c:pt>
                <c:pt idx="4">
                  <c:v>一次性毕业率</c:v>
                </c:pt>
              </c:strCache>
            </c:strRef>
          </c:cat>
          <c:val>
            <c:numRef>
              <c:f>[工作簿1]Sheet1!$B$11:$F$11</c:f>
              <c:numCache>
                <c:formatCode>0%</c:formatCode>
                <c:ptCount val="5"/>
                <c:pt idx="0">
                  <c:v>0.93</c:v>
                </c:pt>
                <c:pt idx="1">
                  <c:v>0.98</c:v>
                </c:pt>
                <c:pt idx="2">
                  <c:v>0.84</c:v>
                </c:pt>
                <c:pt idx="3">
                  <c:v>0.83</c:v>
                </c:pt>
                <c:pt idx="4">
                  <c:v>0.94</c:v>
                </c:pt>
              </c:numCache>
            </c:numRef>
          </c:val>
        </c:ser>
        <c:dLbls>
          <c:showLegendKey val="0"/>
          <c:showVal val="0"/>
          <c:showCatName val="0"/>
          <c:showSerName val="0"/>
          <c:showPercent val="0"/>
          <c:showBubbleSize val="0"/>
        </c:dLbls>
        <c:gapWidth val="219"/>
        <c:overlap val="-27"/>
        <c:axId val="262730496"/>
        <c:axId val="262732032"/>
      </c:barChart>
      <c:catAx>
        <c:axId val="26273049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2732032"/>
        <c:crosses val="autoZero"/>
        <c:auto val="1"/>
        <c:lblAlgn val="ctr"/>
        <c:lblOffset val="100"/>
        <c:noMultiLvlLbl val="0"/>
      </c:catAx>
      <c:valAx>
        <c:axId val="2627320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27304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问卷调查满意度情况对比</a:t>
            </a:r>
            <a:endParaRPr lang="zh-CN" altLang="en-US"/>
          </a:p>
        </c:rich>
      </c:tx>
      <c:layout/>
      <c:overlay val="0"/>
      <c:spPr>
        <a:noFill/>
        <a:ln>
          <a:noFill/>
        </a:ln>
        <a:effectLst/>
      </c:spPr>
    </c:title>
    <c:autoTitleDeleted val="0"/>
    <c:plotArea>
      <c:layout/>
      <c:barChart>
        <c:barDir val="col"/>
        <c:grouping val="clustered"/>
        <c:varyColors val="0"/>
        <c:ser>
          <c:idx val="0"/>
          <c:order val="0"/>
          <c:tx>
            <c:strRef>
              <c:f>[工作簿1]Sheet1!$A$13</c:f>
              <c:strCache>
                <c:ptCount val="1"/>
                <c:pt idx="0">
                  <c:v>2018</c:v>
                </c:pt>
              </c:strCache>
            </c:strRef>
          </c:tx>
          <c:spPr>
            <a:solidFill>
              <a:schemeClr val="accent1"/>
            </a:solidFill>
            <a:ln>
              <a:noFill/>
            </a:ln>
            <a:effectLst/>
          </c:spPr>
          <c:invertIfNegative val="0"/>
          <c:dLbls>
            <c:delete val="1"/>
          </c:dLbls>
          <c:cat>
            <c:strRef>
              <c:f>[工作簿1]Sheet1!$B$12:$I$12</c:f>
              <c:strCache>
                <c:ptCount val="8"/>
                <c:pt idx="0">
                  <c:v>理论学习满意度</c:v>
                </c:pt>
                <c:pt idx="1">
                  <c:v>专业学习满意度</c:v>
                </c:pt>
                <c:pt idx="2">
                  <c:v>校内实习满意度</c:v>
                </c:pt>
                <c:pt idx="3">
                  <c:v>校外实习满意度</c:v>
                </c:pt>
                <c:pt idx="4">
                  <c:v>校外实习满意度</c:v>
                </c:pt>
                <c:pt idx="5">
                  <c:v>生活满意度</c:v>
                </c:pt>
                <c:pt idx="6">
                  <c:v>安全满意度</c:v>
                </c:pt>
                <c:pt idx="7">
                  <c:v>毕业生满意度</c:v>
                </c:pt>
              </c:strCache>
            </c:strRef>
          </c:cat>
          <c:val>
            <c:numRef>
              <c:f>[工作簿1]Sheet1!$B$13:$I$13</c:f>
              <c:numCache>
                <c:formatCode>0.00%</c:formatCode>
                <c:ptCount val="8"/>
                <c:pt idx="0">
                  <c:v>0.986</c:v>
                </c:pt>
                <c:pt idx="1" c:formatCode="0%">
                  <c:v>0.96</c:v>
                </c:pt>
                <c:pt idx="2">
                  <c:v>0.965</c:v>
                </c:pt>
                <c:pt idx="3">
                  <c:v>0.962</c:v>
                </c:pt>
                <c:pt idx="4">
                  <c:v>0.959</c:v>
                </c:pt>
                <c:pt idx="5" c:formatCode="0%">
                  <c:v>0.98</c:v>
                </c:pt>
                <c:pt idx="6">
                  <c:v>0.988</c:v>
                </c:pt>
                <c:pt idx="7">
                  <c:v>0.945</c:v>
                </c:pt>
              </c:numCache>
            </c:numRef>
          </c:val>
        </c:ser>
        <c:ser>
          <c:idx val="1"/>
          <c:order val="1"/>
          <c:tx>
            <c:strRef>
              <c:f>[工作簿1]Sheet1!$A$14</c:f>
              <c:strCache>
                <c:ptCount val="1"/>
                <c:pt idx="0">
                  <c:v>2019</c:v>
                </c:pt>
              </c:strCache>
            </c:strRef>
          </c:tx>
          <c:spPr>
            <a:solidFill>
              <a:schemeClr val="accent2"/>
            </a:solidFill>
            <a:ln>
              <a:noFill/>
            </a:ln>
            <a:effectLst/>
          </c:spPr>
          <c:invertIfNegative val="0"/>
          <c:dLbls>
            <c:delete val="1"/>
          </c:dLbls>
          <c:cat>
            <c:strRef>
              <c:f>[工作簿1]Sheet1!$B$12:$I$12</c:f>
              <c:strCache>
                <c:ptCount val="8"/>
                <c:pt idx="0">
                  <c:v>理论学习满意度</c:v>
                </c:pt>
                <c:pt idx="1">
                  <c:v>专业学习满意度</c:v>
                </c:pt>
                <c:pt idx="2">
                  <c:v>校内实习满意度</c:v>
                </c:pt>
                <c:pt idx="3">
                  <c:v>校外实习满意度</c:v>
                </c:pt>
                <c:pt idx="4">
                  <c:v>校外实习满意度</c:v>
                </c:pt>
                <c:pt idx="5">
                  <c:v>生活满意度</c:v>
                </c:pt>
                <c:pt idx="6">
                  <c:v>安全满意度</c:v>
                </c:pt>
                <c:pt idx="7">
                  <c:v>毕业生满意度</c:v>
                </c:pt>
              </c:strCache>
            </c:strRef>
          </c:cat>
          <c:val>
            <c:numRef>
              <c:f>[工作簿1]Sheet1!$B$14:$I$14</c:f>
              <c:numCache>
                <c:formatCode>0%</c:formatCode>
                <c:ptCount val="8"/>
                <c:pt idx="0">
                  <c:v>0.99</c:v>
                </c:pt>
                <c:pt idx="1">
                  <c:v>0.96</c:v>
                </c:pt>
                <c:pt idx="2">
                  <c:v>0.96</c:v>
                </c:pt>
                <c:pt idx="3" c:formatCode="0.00%">
                  <c:v>0.962</c:v>
                </c:pt>
                <c:pt idx="4">
                  <c:v>0.96</c:v>
                </c:pt>
                <c:pt idx="5" c:formatCode="0.00%">
                  <c:v>0.981</c:v>
                </c:pt>
                <c:pt idx="6" c:formatCode="0.00%">
                  <c:v>0.987</c:v>
                </c:pt>
                <c:pt idx="7" c:formatCode="0.00%">
                  <c:v>0.943</c:v>
                </c:pt>
              </c:numCache>
            </c:numRef>
          </c:val>
        </c:ser>
        <c:dLbls>
          <c:showLegendKey val="0"/>
          <c:showVal val="0"/>
          <c:showCatName val="0"/>
          <c:showSerName val="0"/>
          <c:showPercent val="0"/>
          <c:showBubbleSize val="0"/>
        </c:dLbls>
        <c:gapWidth val="219"/>
        <c:overlap val="-27"/>
        <c:axId val="268217344"/>
        <c:axId val="341586688"/>
      </c:barChart>
      <c:catAx>
        <c:axId val="2682173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586688"/>
        <c:crosses val="autoZero"/>
        <c:auto val="1"/>
        <c:lblAlgn val="ctr"/>
        <c:lblOffset val="100"/>
        <c:noMultiLvlLbl val="0"/>
      </c:catAx>
      <c:valAx>
        <c:axId val="3415866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2173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2829</Words>
  <Characters>16130</Characters>
  <Lines>134</Lines>
  <Paragraphs>37</Paragraphs>
  <TotalTime>1</TotalTime>
  <ScaleCrop>false</ScaleCrop>
  <LinksUpToDate>false</LinksUpToDate>
  <CharactersWithSpaces>18922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2019-01-16T01:22:00Z</dcterms:created>
  <dc:creator>Administrator</dc:creator>
  <cp:lastModifiedBy>飞哥哥</cp:lastModifiedBy>
  <cp:lastPrinted>2020-03-10T07:48:00Z</cp:lastPrinted>
  <dcterms:modified xsi:type="dcterms:W3CDTF">2021-10-12T12:54:37Z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94305DD74701439CB146E859A22A6E7D</vt:lpwstr>
  </property>
</Properties>
</file>