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b/>
          <w:bCs/>
          <w:color w:val="000000" w:themeColor="text1"/>
          <w:sz w:val="72"/>
          <w:szCs w:val="72"/>
          <w:lang w:val="en-US" w:eastAsia="zh-CN"/>
        </w:rPr>
      </w:pPr>
      <w:bookmarkStart w:id="10" w:name="_GoBack"/>
      <w:r>
        <w:rPr>
          <w:rFonts w:hint="eastAsia"/>
          <w:b/>
          <w:bCs/>
          <w:color w:val="000000" w:themeColor="text1"/>
          <w:sz w:val="52"/>
          <w:szCs w:val="52"/>
          <w:lang w:val="en-US" w:eastAsia="zh-CN"/>
        </w:rPr>
        <w:t>南充电子工业学校</w:t>
      </w:r>
    </w:p>
    <w:bookmarkEnd w:id="10"/>
    <w:p>
      <w:pPr>
        <w:jc w:val="center"/>
        <w:rPr>
          <w:rFonts w:hint="eastAsia"/>
          <w:b/>
          <w:bCs/>
          <w:sz w:val="52"/>
          <w:szCs w:val="52"/>
          <w:lang w:val="en-US" w:eastAsia="zh-CN"/>
        </w:rPr>
      </w:pPr>
    </w:p>
    <w:p>
      <w:pPr>
        <w:jc w:val="center"/>
        <w:rPr>
          <w:rFonts w:hint="eastAsia" w:ascii="仿宋_GB2312" w:hAnsi="仿宋_GB2312" w:eastAsia="仿宋_GB2312" w:cs="仿宋_GB2312"/>
          <w:color w:val="000000" w:themeColor="text1"/>
          <w:sz w:val="52"/>
          <w:szCs w:val="52"/>
          <w:lang w:val="en-US" w:eastAsia="zh-CN"/>
        </w:rPr>
      </w:pPr>
      <w:r>
        <w:rPr>
          <w:rFonts w:hint="eastAsia" w:ascii="仿宋_GB2312" w:hAnsi="仿宋_GB2312" w:eastAsia="仿宋_GB2312" w:cs="仿宋_GB2312"/>
          <w:color w:val="000000" w:themeColor="text1"/>
          <w:sz w:val="52"/>
          <w:szCs w:val="52"/>
          <w:lang w:val="en-US" w:eastAsia="zh-CN"/>
        </w:rPr>
        <w:t>中等职业教育质量年度报告</w:t>
      </w:r>
    </w:p>
    <w:p>
      <w:pPr>
        <w:jc w:val="center"/>
        <w:rPr>
          <w:rFonts w:hint="eastAsia" w:ascii="新宋体" w:hAnsi="新宋体" w:eastAsia="新宋体" w:cs="新宋体"/>
          <w:sz w:val="44"/>
          <w:szCs w:val="44"/>
          <w:lang w:val="en-US" w:eastAsia="zh-CN"/>
        </w:rPr>
      </w:pPr>
      <w:r>
        <w:rPr>
          <w:rFonts w:hint="eastAsia" w:ascii="新宋体" w:hAnsi="新宋体" w:eastAsia="新宋体" w:cs="新宋体"/>
          <w:sz w:val="44"/>
          <w:szCs w:val="44"/>
          <w:lang w:val="en-US" w:eastAsia="zh-CN"/>
        </w:rPr>
        <w:t>（2018年度）</w:t>
      </w:r>
    </w:p>
    <w:p>
      <w:pPr>
        <w:jc w:val="center"/>
        <w:rPr>
          <w:rFonts w:hint="eastAsia" w:ascii="新宋体" w:hAnsi="新宋体" w:eastAsia="新宋体" w:cs="新宋体"/>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both"/>
        <w:rPr>
          <w:rFonts w:hint="eastAsia"/>
          <w:sz w:val="44"/>
          <w:szCs w:val="44"/>
          <w:lang w:val="en-US" w:eastAsia="zh-CN"/>
        </w:rPr>
      </w:pPr>
    </w:p>
    <w:p>
      <w:pPr>
        <w:jc w:val="center"/>
        <w:rPr>
          <w:rFonts w:hint="eastAsia"/>
          <w:sz w:val="44"/>
          <w:szCs w:val="44"/>
          <w:lang w:val="en-US" w:eastAsia="zh-CN"/>
        </w:rPr>
      </w:pPr>
    </w:p>
    <w:p>
      <w:pPr>
        <w:jc w:val="both"/>
        <w:rPr>
          <w:rFonts w:hint="eastAsia"/>
          <w:sz w:val="44"/>
          <w:szCs w:val="44"/>
          <w:lang w:val="en-US" w:eastAsia="zh-CN"/>
        </w:rPr>
      </w:pPr>
    </w:p>
    <w:p>
      <w:pPr>
        <w:jc w:val="center"/>
        <w:rPr>
          <w:rFonts w:hint="eastAsia" w:ascii="新宋体" w:hAnsi="新宋体" w:eastAsia="新宋体" w:cs="新宋体"/>
          <w:sz w:val="44"/>
          <w:szCs w:val="44"/>
          <w:lang w:val="en-US" w:eastAsia="zh-CN"/>
        </w:rPr>
      </w:pPr>
      <w:r>
        <w:rPr>
          <w:rFonts w:hint="eastAsia" w:ascii="新宋体" w:hAnsi="新宋体" w:eastAsia="新宋体" w:cs="新宋体"/>
          <w:sz w:val="44"/>
          <w:szCs w:val="44"/>
          <w:lang w:val="en-US" w:eastAsia="zh-CN"/>
        </w:rPr>
        <w:t>二0一九年一月二十日</w:t>
      </w:r>
    </w:p>
    <w:p>
      <w:pPr>
        <w:jc w:val="both"/>
        <w:rPr>
          <w:rFonts w:hint="eastAsia"/>
          <w:sz w:val="44"/>
          <w:szCs w:val="44"/>
          <w:lang w:val="en-US" w:eastAsia="zh-CN"/>
        </w:rPr>
      </w:pPr>
    </w:p>
    <w:p>
      <w:pPr>
        <w:jc w:val="center"/>
        <w:rPr>
          <w:rFonts w:hint="eastAsia"/>
          <w:color w:val="000000" w:themeColor="text1"/>
          <w:sz w:val="44"/>
          <w:szCs w:val="44"/>
          <w:lang w:val="en-US" w:eastAsia="zh-CN"/>
        </w:rPr>
      </w:pPr>
      <w:r>
        <w:rPr>
          <w:rFonts w:hint="eastAsia"/>
          <w:color w:val="000000" w:themeColor="text1"/>
          <w:sz w:val="44"/>
          <w:szCs w:val="44"/>
          <w:lang w:val="en-US" w:eastAsia="zh-CN"/>
        </w:rPr>
        <w:t>目录</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学校情况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1.1学校概况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1.2学生情况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1.3教师队伍</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1.4设施设备</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4</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学生发展</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7</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2.1学生素质</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7</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2.2在校体验</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8</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2.3资助情况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9</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2.4就业质量</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10</w:t>
      </w:r>
    </w:p>
    <w:p>
      <w:pPr>
        <w:numPr>
          <w:ilvl w:val="0"/>
          <w:numId w:val="0"/>
        </w:numPr>
        <w:jc w:val="both"/>
        <w:rPr>
          <w:rFonts w:hint="eastAsia" w:ascii="新宋体" w:hAnsi="新宋体" w:eastAsia="新宋体" w:cs="新宋体"/>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2.5职业发展</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13</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质量保障措施</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14</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3.1</w:t>
      </w:r>
      <w:r>
        <w:rPr>
          <w:rFonts w:hint="eastAsia"/>
          <w:b w:val="0"/>
          <w:bCs w:val="0"/>
          <w:color w:val="000000" w:themeColor="text1"/>
          <w:sz w:val="30"/>
          <w:szCs w:val="30"/>
          <w:lang w:val="en-US" w:eastAsia="zh-CN"/>
        </w:rPr>
        <w:t>专业动态调整</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14</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3.2</w:t>
      </w:r>
      <w:r>
        <w:rPr>
          <w:rFonts w:hint="eastAsia"/>
          <w:b w:val="0"/>
          <w:bCs w:val="0"/>
          <w:color w:val="000000" w:themeColor="text1"/>
          <w:sz w:val="30"/>
          <w:szCs w:val="30"/>
          <w:lang w:val="en-US" w:eastAsia="zh-CN"/>
        </w:rPr>
        <w:t>教育教学改革</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15</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3.3</w:t>
      </w:r>
      <w:r>
        <w:rPr>
          <w:rFonts w:hint="eastAsia"/>
          <w:b w:val="0"/>
          <w:bCs w:val="0"/>
          <w:color w:val="000000" w:themeColor="text1"/>
          <w:sz w:val="30"/>
          <w:szCs w:val="30"/>
          <w:lang w:val="en-US" w:eastAsia="zh-CN"/>
        </w:rPr>
        <w:t>教师培养培训</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18</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3.4</w:t>
      </w:r>
      <w:r>
        <w:rPr>
          <w:rFonts w:hint="eastAsia"/>
          <w:b w:val="0"/>
          <w:bCs w:val="0"/>
          <w:color w:val="000000" w:themeColor="text1"/>
          <w:sz w:val="30"/>
          <w:szCs w:val="30"/>
          <w:lang w:val="en-US" w:eastAsia="zh-CN"/>
        </w:rPr>
        <w:t>规范管理情况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2"/>
          <w:szCs w:val="32"/>
          <w:lang w:val="en-US" w:eastAsia="zh-CN"/>
        </w:rPr>
        <w:t>18</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3.5</w:t>
      </w:r>
      <w:r>
        <w:rPr>
          <w:rFonts w:hint="eastAsia"/>
          <w:b w:val="0"/>
          <w:bCs w:val="0"/>
          <w:color w:val="000000" w:themeColor="text1"/>
          <w:sz w:val="30"/>
          <w:szCs w:val="30"/>
          <w:lang w:val="en-US" w:eastAsia="zh-CN"/>
        </w:rPr>
        <w:t>德育工作情况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21</w:t>
      </w:r>
    </w:p>
    <w:p>
      <w:pPr>
        <w:numPr>
          <w:ilvl w:val="0"/>
          <w:numId w:val="0"/>
        </w:numPr>
        <w:jc w:val="both"/>
        <w:rPr>
          <w:rFonts w:hint="eastAsia"/>
          <w:b/>
          <w:bCs/>
          <w:color w:val="000000" w:themeColor="text1"/>
          <w:sz w:val="32"/>
          <w:szCs w:val="32"/>
          <w:lang w:val="en-US" w:eastAsia="zh-CN"/>
        </w:rPr>
      </w:pPr>
      <w:r>
        <w:rPr>
          <w:rFonts w:hint="eastAsia" w:ascii="新宋体" w:hAnsi="新宋体" w:eastAsia="新宋体" w:cs="新宋体"/>
          <w:b w:val="0"/>
          <w:bCs w:val="0"/>
          <w:color w:val="000000" w:themeColor="text1"/>
          <w:sz w:val="30"/>
          <w:szCs w:val="30"/>
          <w:lang w:val="en-US" w:eastAsia="zh-CN"/>
        </w:rPr>
        <w:t>3.6</w:t>
      </w:r>
      <w:r>
        <w:rPr>
          <w:rFonts w:hint="eastAsia"/>
          <w:b w:val="0"/>
          <w:bCs w:val="0"/>
          <w:color w:val="000000" w:themeColor="text1"/>
          <w:sz w:val="30"/>
          <w:szCs w:val="30"/>
          <w:lang w:val="en-US" w:eastAsia="zh-CN"/>
        </w:rPr>
        <w:t>党建情况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23</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校企合作</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26</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4.1</w:t>
      </w:r>
      <w:r>
        <w:rPr>
          <w:rFonts w:hint="eastAsia"/>
          <w:b w:val="0"/>
          <w:bCs w:val="0"/>
          <w:color w:val="000000" w:themeColor="text1"/>
          <w:sz w:val="30"/>
          <w:szCs w:val="30"/>
          <w:lang w:val="en-US" w:eastAsia="zh-CN"/>
        </w:rPr>
        <w:t>校企合作开展情况和效果</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26</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4.2</w:t>
      </w:r>
      <w:r>
        <w:rPr>
          <w:rFonts w:hint="eastAsia"/>
          <w:b w:val="0"/>
          <w:bCs w:val="0"/>
          <w:color w:val="000000" w:themeColor="text1"/>
          <w:sz w:val="30"/>
          <w:szCs w:val="30"/>
          <w:lang w:val="en-US" w:eastAsia="zh-CN"/>
        </w:rPr>
        <w:t>学生实习情况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26</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4.3</w:t>
      </w:r>
      <w:r>
        <w:rPr>
          <w:rFonts w:hint="eastAsia"/>
          <w:b w:val="0"/>
          <w:bCs w:val="0"/>
          <w:color w:val="000000" w:themeColor="text1"/>
          <w:sz w:val="30"/>
          <w:szCs w:val="30"/>
          <w:lang w:val="en-US" w:eastAsia="zh-CN"/>
        </w:rPr>
        <w:t>集团化办学情况</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27</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社会贡献</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28</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5.1</w:t>
      </w:r>
      <w:r>
        <w:rPr>
          <w:rFonts w:hint="eastAsia"/>
          <w:b w:val="0"/>
          <w:bCs w:val="0"/>
          <w:color w:val="000000" w:themeColor="text1"/>
          <w:sz w:val="30"/>
          <w:szCs w:val="30"/>
          <w:lang w:val="en-US" w:eastAsia="zh-CN"/>
        </w:rPr>
        <w:t>技术技能人才培养</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28</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5.2</w:t>
      </w:r>
      <w:r>
        <w:rPr>
          <w:rFonts w:hint="eastAsia"/>
          <w:b w:val="0"/>
          <w:bCs w:val="0"/>
          <w:color w:val="000000" w:themeColor="text1"/>
          <w:sz w:val="30"/>
          <w:szCs w:val="30"/>
          <w:lang w:val="en-US" w:eastAsia="zh-CN"/>
        </w:rPr>
        <w:t>社会服务</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29</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5.3</w:t>
      </w:r>
      <w:r>
        <w:rPr>
          <w:rFonts w:hint="eastAsia"/>
          <w:b w:val="0"/>
          <w:bCs w:val="0"/>
          <w:color w:val="000000" w:themeColor="text1"/>
          <w:sz w:val="30"/>
          <w:szCs w:val="30"/>
          <w:lang w:val="en-US" w:eastAsia="zh-CN"/>
        </w:rPr>
        <w:t>对口支援</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29</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举办者履责</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30</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6.1</w:t>
      </w:r>
      <w:r>
        <w:rPr>
          <w:rFonts w:hint="eastAsia"/>
          <w:b w:val="0"/>
          <w:bCs w:val="0"/>
          <w:color w:val="000000" w:themeColor="text1"/>
          <w:sz w:val="30"/>
          <w:szCs w:val="30"/>
          <w:lang w:val="en-US" w:eastAsia="zh-CN"/>
        </w:rPr>
        <w:t>经费保障</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30</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6.2</w:t>
      </w:r>
      <w:r>
        <w:rPr>
          <w:rFonts w:hint="eastAsia"/>
          <w:b w:val="0"/>
          <w:bCs w:val="0"/>
          <w:color w:val="000000" w:themeColor="text1"/>
          <w:sz w:val="30"/>
          <w:szCs w:val="30"/>
          <w:lang w:val="en-US" w:eastAsia="zh-CN"/>
        </w:rPr>
        <w:t>政策措施</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30</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特色创新</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31</w:t>
      </w:r>
    </w:p>
    <w:p>
      <w:pPr>
        <w:pStyle w:val="6"/>
        <w:shd w:val="clear" w:color="auto" w:fill="FFFFFF"/>
        <w:spacing w:before="0" w:beforeAutospacing="0" w:after="75" w:afterAutospacing="0" w:line="400" w:lineRule="atLeast"/>
        <w:rPr>
          <w:rFonts w:hint="eastAsia"/>
          <w:b w:val="0"/>
          <w:bCs w:val="0"/>
          <w:color w:val="000000" w:themeColor="text1"/>
          <w:sz w:val="30"/>
          <w:szCs w:val="30"/>
          <w:lang w:val="en-US" w:eastAsia="zh-CN"/>
        </w:rPr>
      </w:pPr>
      <w:r>
        <w:rPr>
          <w:rFonts w:hint="eastAsia" w:ascii="仿宋" w:hAnsi="仿宋" w:eastAsia="仿宋" w:cs="仿宋_GB2312"/>
          <w:b w:val="0"/>
          <w:bCs w:val="0"/>
          <w:kern w:val="2"/>
          <w:sz w:val="30"/>
          <w:szCs w:val="30"/>
        </w:rPr>
        <w:t>案例一：</w:t>
      </w:r>
      <w:r>
        <w:rPr>
          <w:rFonts w:hint="eastAsia" w:ascii="仿宋" w:hAnsi="仿宋" w:eastAsia="仿宋"/>
          <w:b w:val="0"/>
          <w:bCs w:val="0"/>
          <w:sz w:val="30"/>
          <w:szCs w:val="30"/>
        </w:rPr>
        <w:t>探索校企合作、产教融合的办学模式</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32</w:t>
      </w:r>
    </w:p>
    <w:p>
      <w:pPr>
        <w:numPr>
          <w:ilvl w:val="0"/>
          <w:numId w:val="1"/>
        </w:numPr>
        <w:jc w:val="both"/>
        <w:rPr>
          <w:rFonts w:hint="eastAsia"/>
          <w:b/>
          <w:bCs/>
          <w:color w:val="000000" w:themeColor="text1"/>
          <w:sz w:val="32"/>
          <w:szCs w:val="32"/>
          <w:lang w:val="en-US" w:eastAsia="zh-CN"/>
        </w:rPr>
      </w:pPr>
      <w:r>
        <w:rPr>
          <w:rFonts w:hint="eastAsia"/>
          <w:b/>
          <w:bCs/>
          <w:color w:val="000000" w:themeColor="text1"/>
          <w:sz w:val="32"/>
          <w:szCs w:val="32"/>
          <w:lang w:val="en-US" w:eastAsia="zh-CN"/>
        </w:rPr>
        <w:t>主要问题和改进措施</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37</w:t>
      </w:r>
    </w:p>
    <w:p>
      <w:pPr>
        <w:numPr>
          <w:ilvl w:val="0"/>
          <w:numId w:val="0"/>
        </w:numPr>
        <w:jc w:val="both"/>
        <w:rPr>
          <w:rFonts w:hint="eastAsia"/>
          <w:b w:val="0"/>
          <w:bCs w:val="0"/>
          <w:color w:val="000000" w:themeColor="text1"/>
          <w:sz w:val="30"/>
          <w:szCs w:val="30"/>
          <w:lang w:val="en-US" w:eastAsia="zh-CN"/>
        </w:rPr>
      </w:pPr>
      <w:r>
        <w:rPr>
          <w:rFonts w:hint="eastAsia" w:ascii="新宋体" w:hAnsi="新宋体" w:eastAsia="新宋体" w:cs="新宋体"/>
          <w:b w:val="0"/>
          <w:bCs w:val="0"/>
          <w:color w:val="000000" w:themeColor="text1"/>
          <w:sz w:val="30"/>
          <w:szCs w:val="30"/>
          <w:lang w:val="en-US" w:eastAsia="zh-CN"/>
        </w:rPr>
        <w:t>8.1</w:t>
      </w:r>
      <w:r>
        <w:rPr>
          <w:rFonts w:hint="eastAsia"/>
          <w:b w:val="0"/>
          <w:bCs w:val="0"/>
          <w:color w:val="000000" w:themeColor="text1"/>
          <w:sz w:val="30"/>
          <w:szCs w:val="30"/>
          <w:lang w:val="en-US" w:eastAsia="zh-CN"/>
        </w:rPr>
        <w:t>人才培养中存在的问题</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37</w:t>
      </w:r>
    </w:p>
    <w:p>
      <w:pPr>
        <w:numPr>
          <w:ilvl w:val="0"/>
          <w:numId w:val="0"/>
        </w:numPr>
        <w:jc w:val="both"/>
        <w:rPr>
          <w:rFonts w:hint="eastAsia" w:ascii="仿宋" w:hAnsi="仿宋" w:eastAsia="仿宋" w:cs="宋体"/>
          <w:b/>
          <w:bCs/>
          <w:sz w:val="44"/>
          <w:szCs w:val="44"/>
        </w:rPr>
      </w:pPr>
      <w:r>
        <w:rPr>
          <w:rFonts w:hint="eastAsia" w:ascii="新宋体" w:hAnsi="新宋体" w:eastAsia="新宋体" w:cs="新宋体"/>
          <w:b w:val="0"/>
          <w:bCs w:val="0"/>
          <w:color w:val="000000" w:themeColor="text1"/>
          <w:sz w:val="30"/>
          <w:szCs w:val="30"/>
          <w:lang w:val="en-US" w:eastAsia="zh-CN"/>
        </w:rPr>
        <w:t>8.2</w:t>
      </w:r>
      <w:r>
        <w:rPr>
          <w:rFonts w:hint="eastAsia"/>
          <w:b w:val="0"/>
          <w:bCs w:val="0"/>
          <w:color w:val="000000" w:themeColor="text1"/>
          <w:sz w:val="30"/>
          <w:szCs w:val="30"/>
          <w:lang w:val="en-US" w:eastAsia="zh-CN"/>
        </w:rPr>
        <w:t>改进措施</w:t>
      </w:r>
      <w:r>
        <w:rPr>
          <w:rFonts w:hint="eastAsia"/>
          <w:b w:val="0"/>
          <w:bCs w:val="0"/>
          <w:color w:val="000000" w:themeColor="text1"/>
          <w:sz w:val="32"/>
          <w:szCs w:val="32"/>
          <w:lang w:val="en-US" w:eastAsia="zh-CN"/>
        </w:rPr>
        <w:t>………………………………………………</w:t>
      </w:r>
      <w:r>
        <w:rPr>
          <w:rFonts w:hint="eastAsia" w:ascii="新宋体" w:hAnsi="新宋体" w:eastAsia="新宋体" w:cs="新宋体"/>
          <w:b w:val="0"/>
          <w:bCs w:val="0"/>
          <w:color w:val="000000" w:themeColor="text1"/>
          <w:sz w:val="30"/>
          <w:szCs w:val="30"/>
          <w:lang w:val="en-US" w:eastAsia="zh-CN"/>
        </w:rPr>
        <w:t>37</w:t>
      </w:r>
    </w:p>
    <w:p>
      <w:pPr>
        <w:jc w:val="center"/>
        <w:rPr>
          <w:rFonts w:hint="eastAsia" w:ascii="仿宋" w:hAnsi="仿宋" w:eastAsia="仿宋" w:cs="宋体"/>
          <w:b/>
          <w:bCs/>
          <w:sz w:val="44"/>
          <w:szCs w:val="44"/>
        </w:rPr>
      </w:pPr>
    </w:p>
    <w:p>
      <w:pPr>
        <w:jc w:val="center"/>
        <w:rPr>
          <w:rFonts w:hint="eastAsia" w:ascii="仿宋" w:hAnsi="仿宋" w:eastAsia="仿宋" w:cs="宋体"/>
          <w:b/>
          <w:bCs/>
          <w:sz w:val="44"/>
          <w:szCs w:val="44"/>
        </w:rPr>
      </w:pPr>
    </w:p>
    <w:p>
      <w:pPr>
        <w:jc w:val="center"/>
        <w:rPr>
          <w:rFonts w:hint="eastAsia" w:ascii="仿宋" w:hAnsi="仿宋" w:eastAsia="仿宋" w:cs="宋体"/>
          <w:b/>
          <w:bCs/>
          <w:sz w:val="44"/>
          <w:szCs w:val="44"/>
        </w:rPr>
      </w:pPr>
    </w:p>
    <w:p>
      <w:pPr>
        <w:jc w:val="center"/>
        <w:rPr>
          <w:rFonts w:hint="eastAsia" w:ascii="仿宋" w:hAnsi="仿宋" w:eastAsia="仿宋" w:cs="宋体"/>
          <w:b/>
          <w:bCs/>
          <w:sz w:val="44"/>
          <w:szCs w:val="44"/>
        </w:rPr>
      </w:pPr>
    </w:p>
    <w:p>
      <w:pPr>
        <w:jc w:val="center"/>
        <w:rPr>
          <w:rFonts w:hint="eastAsia" w:ascii="仿宋" w:hAnsi="仿宋" w:eastAsia="仿宋" w:cs="宋体"/>
          <w:b/>
          <w:bCs/>
          <w:sz w:val="44"/>
          <w:szCs w:val="44"/>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宋体"/>
          <w:b/>
          <w:bCs/>
          <w:color w:val="000000"/>
          <w:sz w:val="44"/>
          <w:szCs w:val="44"/>
          <w:shd w:val="clear" w:color="auto" w:fill="FFFFFF"/>
        </w:rPr>
      </w:pPr>
      <w:r>
        <w:rPr>
          <w:rFonts w:hint="eastAsia" w:ascii="仿宋" w:hAnsi="仿宋" w:eastAsia="仿宋" w:cs="宋体"/>
          <w:b/>
          <w:bCs/>
          <w:sz w:val="44"/>
          <w:szCs w:val="44"/>
        </w:rPr>
        <w:t>南充电子工业</w:t>
      </w:r>
      <w:r>
        <w:rPr>
          <w:rFonts w:hint="eastAsia" w:ascii="仿宋" w:hAnsi="仿宋" w:eastAsia="仿宋" w:cs="宋体"/>
          <w:b/>
          <w:bCs/>
          <w:color w:val="000000"/>
          <w:sz w:val="44"/>
          <w:szCs w:val="44"/>
          <w:shd w:val="clear" w:color="auto" w:fill="FFFFFF"/>
        </w:rPr>
        <w:t>学校质量年度报告</w:t>
      </w:r>
    </w:p>
    <w:p>
      <w:pPr>
        <w:pStyle w:val="11"/>
        <w:numPr>
          <w:ilvl w:val="0"/>
          <w:numId w:val="0"/>
        </w:numPr>
        <w:jc w:val="center"/>
        <w:rPr>
          <w:rFonts w:ascii="仿宋" w:hAnsi="仿宋" w:eastAsia="仿宋" w:cs="新宋体"/>
          <w:b/>
          <w:bCs/>
          <w:color w:val="000000"/>
          <w:sz w:val="32"/>
          <w:szCs w:val="32"/>
          <w:shd w:val="clear" w:color="auto" w:fill="FFFFFF"/>
        </w:rPr>
      </w:pPr>
      <w:r>
        <w:rPr>
          <w:rFonts w:hint="eastAsia" w:ascii="仿宋" w:hAnsi="仿宋" w:eastAsia="仿宋" w:cs="新宋体"/>
          <w:b/>
          <w:bCs/>
          <w:color w:val="000000"/>
          <w:sz w:val="32"/>
          <w:szCs w:val="32"/>
          <w:shd w:val="clear" w:color="auto" w:fill="FFFFFF"/>
          <w:lang w:eastAsia="zh-CN"/>
        </w:rPr>
        <w:t>（</w:t>
      </w:r>
      <w:r>
        <w:rPr>
          <w:rFonts w:hint="eastAsia" w:ascii="仿宋" w:hAnsi="仿宋" w:eastAsia="仿宋" w:cs="新宋体"/>
          <w:b/>
          <w:bCs/>
          <w:color w:val="000000"/>
          <w:sz w:val="32"/>
          <w:szCs w:val="32"/>
          <w:shd w:val="clear" w:color="auto" w:fill="FFFFFF"/>
          <w:lang w:val="en-US" w:eastAsia="zh-CN"/>
        </w:rPr>
        <w:t>2018年度</w:t>
      </w:r>
      <w:r>
        <w:rPr>
          <w:rFonts w:hint="eastAsia" w:ascii="仿宋" w:hAnsi="仿宋" w:eastAsia="仿宋" w:cs="新宋体"/>
          <w:b/>
          <w:bCs/>
          <w:color w:val="000000"/>
          <w:sz w:val="32"/>
          <w:szCs w:val="32"/>
          <w:shd w:val="clear" w:color="auto" w:fill="FFFFFF"/>
          <w:lang w:eastAsia="zh-CN"/>
        </w:rPr>
        <w:t>）</w:t>
      </w:r>
    </w:p>
    <w:p>
      <w:pPr>
        <w:rPr>
          <w:rFonts w:ascii="仿宋" w:hAnsi="仿宋" w:eastAsia="仿宋" w:cs="仿宋_GB2312"/>
          <w:b/>
          <w:bCs/>
          <w:color w:val="000000"/>
          <w:sz w:val="36"/>
          <w:szCs w:val="36"/>
          <w:shd w:val="clear" w:color="auto" w:fill="FFFFFF"/>
        </w:rPr>
      </w:pPr>
      <w:r>
        <w:rPr>
          <w:rFonts w:hint="eastAsia" w:ascii="仿宋" w:hAnsi="仿宋" w:eastAsia="仿宋" w:cs="仿宋_GB2312"/>
          <w:b/>
          <w:bCs/>
          <w:color w:val="000000"/>
          <w:sz w:val="36"/>
          <w:szCs w:val="36"/>
          <w:shd w:val="clear" w:color="auto" w:fill="FFFFFF"/>
        </w:rPr>
        <w:t>一、学校情况</w:t>
      </w:r>
    </w:p>
    <w:p>
      <w:pPr>
        <w:ind w:firstLine="643" w:firstLineChars="200"/>
        <w:rPr>
          <w:rFonts w:ascii="仿宋" w:hAnsi="仿宋" w:eastAsia="仿宋" w:cs="仿宋_GB2312"/>
          <w:b/>
          <w:color w:val="000000"/>
          <w:sz w:val="32"/>
          <w:szCs w:val="32"/>
          <w:shd w:val="clear" w:color="auto" w:fill="FFFFFF"/>
        </w:rPr>
      </w:pPr>
      <w:r>
        <w:rPr>
          <w:rFonts w:hint="eastAsia" w:ascii="仿宋" w:hAnsi="仿宋" w:eastAsia="仿宋" w:cs="仿宋_GB2312"/>
          <w:b/>
          <w:sz w:val="32"/>
          <w:szCs w:val="32"/>
        </w:rPr>
        <w:t>1.1学校概况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南充电子工业学校成立于1998年，2005年经南充市教育局批准成为中等职业学校，学校位于南充市高坪区东顺路航空港工业集中园区，学校是南充大成职业教育集团核心成员学校。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学校实行集团董事会领导下的校长负责制。学校设校长1人，副校长2人；校长为研究生学历、副教授，从事教学及教学管理工作30余年；副校长均为本科学历，具有高级职称2人，中级职称1人，均有从事十年以上教育教学工作的经历，有较高思想政治素质和较强管理能力、熟悉职业教育发展规律。</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学校现开设有电子技术应用、计算机应用、汽车运用与维修、工程造价、铁道运输管理、会计电算化、电子商务等13个专业，有教学班51个，中职在校学生2063人。学校设置的专业符合当地社会经济建设需要，有明确的教学计划、教学大纲等教学文件，以及相适应的课程标准和教材。</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学校占地面积49121平方米，生均用地面积23.81平方米。校舍建筑面积42861平方米，生均校舍建筑面积20.77平方米。</w:t>
      </w:r>
    </w:p>
    <w:p>
      <w:pPr>
        <w:ind w:firstLine="640" w:firstLineChars="200"/>
        <w:rPr>
          <w:rFonts w:ascii="仿宋" w:hAnsi="仿宋" w:eastAsia="仿宋" w:cs="仿宋_GB2312"/>
          <w:sz w:val="32"/>
          <w:szCs w:val="32"/>
        </w:rPr>
      </w:pPr>
      <w:r>
        <w:rPr>
          <w:rFonts w:hint="eastAsia" w:ascii="仿宋" w:hAnsi="仿宋" w:eastAsia="仿宋" w:cs="仿宋_GB2312"/>
          <w:color w:val="000000" w:themeColor="text1"/>
          <w:sz w:val="32"/>
          <w:szCs w:val="32"/>
        </w:rPr>
        <w:t>学校有300米的环型跑道田径场，标准篮球场2个，足球场1个、室内体育馆1个，有满足教学和体育活动需要的其他设施和场地，学校卫</w:t>
      </w:r>
      <w:r>
        <w:rPr>
          <w:rFonts w:hint="eastAsia" w:ascii="仿宋" w:hAnsi="仿宋" w:eastAsia="仿宋" w:cs="仿宋_GB2312"/>
          <w:sz w:val="32"/>
          <w:szCs w:val="32"/>
        </w:rPr>
        <w:t>生保健、校园安全机构健全，教学、生活设施设备符合《学校卫生工作条例》的基本要求，校园安全有保障。</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学校创办20年来，多次获得省、市、区的表彰奖励；学校有工业和信息产业部与人力资源和社会保障部认定的国家职业技能鉴定站各一个、被授予“四川省劳务开发培训基地”和“南充市重点中等职业学校称号”。</w:t>
      </w:r>
    </w:p>
    <w:p>
      <w:pPr>
        <w:ind w:firstLine="643" w:firstLineChars="200"/>
        <w:rPr>
          <w:rFonts w:ascii="仿宋" w:hAnsi="仿宋" w:eastAsia="仿宋" w:cs="仿宋_GB2312"/>
          <w:b/>
          <w:sz w:val="32"/>
          <w:szCs w:val="32"/>
        </w:rPr>
      </w:pPr>
      <w:r>
        <w:rPr>
          <w:rFonts w:hint="eastAsia" w:ascii="仿宋" w:hAnsi="仿宋" w:eastAsia="仿宋" w:cs="仿宋_GB2312"/>
          <w:b/>
          <w:color w:val="000000"/>
          <w:sz w:val="32"/>
          <w:szCs w:val="32"/>
          <w:shd w:val="clear" w:color="auto" w:fill="FFFFFF"/>
        </w:rPr>
        <w:t>1.2学生情况</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2018年，在校生2063人，招收新生1098人，学校毕业生7</w:t>
      </w:r>
      <w:r>
        <w:rPr>
          <w:rFonts w:hint="eastAsia" w:ascii="仿宋" w:hAnsi="仿宋" w:eastAsia="仿宋" w:cstheme="minorBidi"/>
          <w:color w:val="000000" w:themeColor="text1"/>
          <w:kern w:val="2"/>
          <w:sz w:val="32"/>
          <w:szCs w:val="32"/>
          <w:lang w:val="en-US" w:eastAsia="zh-CN"/>
        </w:rPr>
        <w:t>8</w:t>
      </w:r>
      <w:r>
        <w:rPr>
          <w:rFonts w:hint="eastAsia" w:ascii="仿宋" w:hAnsi="仿宋" w:eastAsia="仿宋" w:cstheme="minorBidi"/>
          <w:color w:val="000000" w:themeColor="text1"/>
          <w:kern w:val="2"/>
          <w:sz w:val="32"/>
          <w:szCs w:val="32"/>
        </w:rPr>
        <w:t>9人。与上一年度变化情况如图所示：学生规模对照图（图1），学生情况与上年度相比变化（图2）</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图1:</w:t>
      </w:r>
    </w:p>
    <w:p>
      <w:pPr>
        <w:widowControl/>
        <w:jc w:val="left"/>
        <w:rPr>
          <w:rFonts w:hint="eastAsia" w:ascii="仿宋" w:hAnsi="仿宋" w:eastAsia="仿宋"/>
          <w:lang w:eastAsia="zh-CN"/>
        </w:rPr>
      </w:pPr>
      <w:r>
        <w:rPr>
          <w:rFonts w:hint="eastAsia" w:ascii="仿宋" w:hAnsi="仿宋" w:eastAsia="仿宋"/>
          <w:lang w:eastAsia="zh-CN"/>
        </w:rPr>
        <w:drawing>
          <wp:inline distT="0" distB="0" distL="114300" distR="114300">
            <wp:extent cx="4753610" cy="2819400"/>
            <wp:effectExtent l="0" t="0" r="8890" b="0"/>
            <wp:docPr id="2" name="图片 2" descr="0D30C1622742A952D9BE4A96FE5C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30C1622742A952D9BE4A96FE5C0946"/>
                    <pic:cNvPicPr>
                      <a:picLocks noChangeAspect="1"/>
                    </pic:cNvPicPr>
                  </pic:nvPicPr>
                  <pic:blipFill>
                    <a:blip r:embed="rId5"/>
                    <a:stretch>
                      <a:fillRect/>
                    </a:stretch>
                  </pic:blipFill>
                  <pic:spPr>
                    <a:xfrm>
                      <a:off x="0" y="0"/>
                      <a:ext cx="4753610" cy="2819400"/>
                    </a:xfrm>
                    <a:prstGeom prst="rect">
                      <a:avLst/>
                    </a:prstGeom>
                  </pic:spPr>
                </pic:pic>
              </a:graphicData>
            </a:graphic>
          </wp:inline>
        </w:drawing>
      </w:r>
    </w:p>
    <w:p>
      <w:pPr>
        <w:pStyle w:val="6"/>
        <w:spacing w:before="0" w:beforeAutospacing="0" w:after="0" w:afterAutospacing="0" w:line="360" w:lineRule="auto"/>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图2:</w:t>
      </w:r>
    </w:p>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76800" cy="3589655"/>
            <wp:effectExtent l="0" t="0" r="0" b="10795"/>
            <wp:docPr id="3" name="图片 3" descr="7EB0CCEA43CAF9A18F543EDA8C32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B0CCEA43CAF9A18F543EDA8C323609"/>
                    <pic:cNvPicPr>
                      <a:picLocks noChangeAspect="1"/>
                    </pic:cNvPicPr>
                  </pic:nvPicPr>
                  <pic:blipFill>
                    <a:blip r:embed="rId6"/>
                    <a:stretch>
                      <a:fillRect/>
                    </a:stretch>
                  </pic:blipFill>
                  <pic:spPr>
                    <a:xfrm>
                      <a:off x="0" y="0"/>
                      <a:ext cx="4876800" cy="3589655"/>
                    </a:xfrm>
                    <a:prstGeom prst="rect">
                      <a:avLst/>
                    </a:prstGeom>
                  </pic:spPr>
                </pic:pic>
              </a:graphicData>
            </a:graphic>
          </wp:inline>
        </w:drawing>
      </w:r>
    </w:p>
    <w:p>
      <w:pPr>
        <w:ind w:firstLine="643" w:firstLineChars="200"/>
        <w:rPr>
          <w:rFonts w:ascii="仿宋" w:hAnsi="仿宋" w:eastAsia="仿宋" w:cs="仿宋_GB2312"/>
          <w:b/>
          <w:color w:val="000000"/>
          <w:sz w:val="32"/>
          <w:szCs w:val="32"/>
        </w:rPr>
      </w:pPr>
      <w:r>
        <w:rPr>
          <w:rFonts w:hint="eastAsia" w:ascii="仿宋" w:hAnsi="仿宋" w:eastAsia="仿宋" w:cs="仿宋_GB2312"/>
          <w:b/>
          <w:color w:val="000000"/>
          <w:sz w:val="32"/>
          <w:szCs w:val="32"/>
          <w:shd w:val="clear" w:color="auto" w:fill="FFFFFF"/>
        </w:rPr>
        <w:t>1.3教师队伍</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为努力建设一支业务精湛、素质优良、专兼结合的教师队伍，我校采取</w:t>
      </w:r>
      <w:r>
        <w:rPr>
          <w:rFonts w:ascii="仿宋" w:hAnsi="仿宋" w:eastAsia="仿宋" w:cstheme="minorBidi"/>
          <w:color w:val="000000" w:themeColor="text1"/>
          <w:kern w:val="2"/>
          <w:sz w:val="32"/>
          <w:szCs w:val="32"/>
        </w:rPr>
        <w:t>教师专项</w:t>
      </w:r>
      <w:r>
        <w:rPr>
          <w:rFonts w:hint="eastAsia" w:ascii="仿宋" w:hAnsi="仿宋" w:eastAsia="仿宋" w:cstheme="minorBidi"/>
          <w:color w:val="000000" w:themeColor="text1"/>
          <w:kern w:val="2"/>
          <w:sz w:val="32"/>
          <w:szCs w:val="32"/>
        </w:rPr>
        <w:t>培训、专业教师轮训等方式，对在职教师实施“双师型”培训，并通过企业、社会、院校等引进专、兼职专业技术教师，从而提升了我校教师的业务水平。2018年，我校有专任教师44人，兼职教师20人，外聘老师5人，生师比为27.1:1；高级职称9人，中级职称13人，初级职称3人，本科学历30人，专科学历39人；50周岁以上的教师9人，35-50岁的教师23人，35岁以下的专业教师41人；双师型教师12人，具有省级名师工作室成员4人，具有省信息二类教学指导委员会成员1人。师资情况与上年度相比变化如图所示（表一）：</w:t>
      </w:r>
      <w:r>
        <w:rPr>
          <w:rFonts w:ascii="仿宋" w:hAnsi="仿宋" w:eastAsia="仿宋" w:cstheme="minorBidi"/>
          <w:color w:val="000000" w:themeColor="text1"/>
          <w:kern w:val="2"/>
          <w:sz w:val="32"/>
          <w:szCs w:val="32"/>
        </w:rPr>
        <w:t xml:space="preserve"> </w:t>
      </w:r>
    </w:p>
    <w:tbl>
      <w:tblPr>
        <w:tblStyle w:val="7"/>
        <w:tblW w:w="8404" w:type="dxa"/>
        <w:jc w:val="center"/>
        <w:tblLayout w:type="fixed"/>
        <w:tblCellMar>
          <w:top w:w="0" w:type="dxa"/>
          <w:left w:w="108" w:type="dxa"/>
          <w:bottom w:w="0" w:type="dxa"/>
          <w:right w:w="108" w:type="dxa"/>
        </w:tblCellMar>
      </w:tblPr>
      <w:tblGrid>
        <w:gridCol w:w="2163"/>
        <w:gridCol w:w="1422"/>
        <w:gridCol w:w="1559"/>
        <w:gridCol w:w="1559"/>
        <w:gridCol w:w="1701"/>
      </w:tblGrid>
      <w:tr>
        <w:tblPrEx>
          <w:tblCellMar>
            <w:top w:w="0" w:type="dxa"/>
            <w:left w:w="108" w:type="dxa"/>
            <w:bottom w:w="0" w:type="dxa"/>
            <w:right w:w="108" w:type="dxa"/>
          </w:tblCellMar>
        </w:tblPrEx>
        <w:trPr>
          <w:trHeight w:val="510" w:hRule="atLeast"/>
          <w:jc w:val="center"/>
        </w:trPr>
        <w:tc>
          <w:tcPr>
            <w:tcW w:w="8404" w:type="dxa"/>
            <w:gridSpan w:val="5"/>
            <w:tcBorders>
              <w:top w:val="nil"/>
              <w:left w:val="nil"/>
              <w:bottom w:val="single" w:color="auto" w:sz="4" w:space="0"/>
              <w:right w:val="nil"/>
            </w:tcBorders>
            <w:shd w:val="clear" w:color="auto" w:fill="auto"/>
            <w:vAlign w:val="center"/>
          </w:tcPr>
          <w:p>
            <w:pPr>
              <w:widowControl/>
              <w:rPr>
                <w:rFonts w:ascii="仿宋" w:hAnsi="仿宋" w:eastAsia="仿宋"/>
                <w:color w:val="000000" w:themeColor="text1"/>
                <w:sz w:val="32"/>
                <w:szCs w:val="32"/>
              </w:rPr>
            </w:pPr>
            <w:r>
              <w:rPr>
                <w:rFonts w:hint="eastAsia" w:ascii="仿宋" w:hAnsi="仿宋" w:eastAsia="仿宋"/>
                <w:color w:val="000000" w:themeColor="text1"/>
                <w:sz w:val="32"/>
                <w:szCs w:val="32"/>
              </w:rPr>
              <w:t>表一：</w:t>
            </w:r>
          </w:p>
          <w:p>
            <w:pPr>
              <w:widowControl/>
              <w:jc w:val="center"/>
              <w:rPr>
                <w:rFonts w:ascii="仿宋" w:hAnsi="仿宋" w:eastAsia="仿宋" w:cs="宋体"/>
                <w:b/>
                <w:kern w:val="0"/>
                <w:sz w:val="32"/>
                <w:szCs w:val="32"/>
              </w:rPr>
            </w:pPr>
            <w:r>
              <w:rPr>
                <w:rFonts w:hint="eastAsia" w:ascii="仿宋" w:hAnsi="仿宋" w:eastAsia="仿宋" w:cs="宋体"/>
                <w:b/>
                <w:kern w:val="0"/>
                <w:sz w:val="32"/>
                <w:szCs w:val="32"/>
              </w:rPr>
              <w:t>师资情况与上年度相比变化</w:t>
            </w:r>
          </w:p>
        </w:tc>
      </w:tr>
      <w:tr>
        <w:tblPrEx>
          <w:tblCellMar>
            <w:top w:w="0" w:type="dxa"/>
            <w:left w:w="108" w:type="dxa"/>
            <w:bottom w:w="0" w:type="dxa"/>
            <w:right w:w="108" w:type="dxa"/>
          </w:tblCellMar>
        </w:tblPrEx>
        <w:trPr>
          <w:trHeight w:val="79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项目</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2017年</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2018年</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增长数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增长率</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专人教师人数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44</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48</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9.09%</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生师比</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25.5：1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27.1：1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-1.6：1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-6.30%：1</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本科学历人数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37</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23.33%</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专科学历人数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39</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39</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0.00%</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兼职教师人数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5.00%</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外聘教师人数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40.00%</w:t>
            </w:r>
          </w:p>
        </w:tc>
      </w:tr>
      <w:tr>
        <w:tblPrEx>
          <w:tblCellMar>
            <w:top w:w="0" w:type="dxa"/>
            <w:left w:w="108" w:type="dxa"/>
            <w:bottom w:w="0" w:type="dxa"/>
            <w:right w:w="108" w:type="dxa"/>
          </w:tblCellMar>
        </w:tblPrEx>
        <w:trPr>
          <w:trHeight w:val="60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实训教师人数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-10.00%</w:t>
            </w:r>
          </w:p>
        </w:tc>
      </w:tr>
      <w:tr>
        <w:tblPrEx>
          <w:tblCellMar>
            <w:top w:w="0" w:type="dxa"/>
            <w:left w:w="108" w:type="dxa"/>
            <w:bottom w:w="0" w:type="dxa"/>
            <w:right w:w="108" w:type="dxa"/>
          </w:tblCellMar>
        </w:tblPrEx>
        <w:trPr>
          <w:trHeight w:val="64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高级职称人数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0.00%</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中级职称人数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0.00%</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初级职称人数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0.00%</w:t>
            </w:r>
          </w:p>
        </w:tc>
      </w:tr>
      <w:tr>
        <w:tblPrEx>
          <w:tblCellMar>
            <w:top w:w="0" w:type="dxa"/>
            <w:left w:w="108" w:type="dxa"/>
            <w:bottom w:w="0" w:type="dxa"/>
            <w:right w:w="108" w:type="dxa"/>
          </w:tblCellMar>
        </w:tblPrEx>
        <w:trPr>
          <w:trHeight w:val="65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双师型人数</w:t>
            </w:r>
          </w:p>
        </w:tc>
        <w:tc>
          <w:tcPr>
            <w:tcW w:w="14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0.00%</w:t>
            </w:r>
          </w:p>
        </w:tc>
      </w:tr>
    </w:tbl>
    <w:p>
      <w:pPr>
        <w:ind w:firstLine="643" w:firstLineChars="200"/>
        <w:rPr>
          <w:rFonts w:ascii="仿宋" w:hAnsi="仿宋" w:eastAsia="仿宋" w:cs="仿宋_GB2312"/>
          <w:b/>
          <w:color w:val="000000"/>
          <w:sz w:val="32"/>
          <w:szCs w:val="32"/>
        </w:rPr>
      </w:pPr>
      <w:r>
        <w:rPr>
          <w:rFonts w:hint="eastAsia" w:ascii="仿宋" w:hAnsi="仿宋" w:eastAsia="仿宋" w:cs="仿宋_GB2312"/>
          <w:b/>
          <w:color w:val="000000"/>
          <w:sz w:val="32"/>
          <w:szCs w:val="32"/>
          <w:shd w:val="clear" w:color="auto" w:fill="FFFFFF"/>
        </w:rPr>
        <w:t>1.4设施设备</w:t>
      </w:r>
    </w:p>
    <w:p>
      <w:pPr>
        <w:ind w:firstLine="640"/>
        <w:rPr>
          <w:rFonts w:hint="eastAsia" w:ascii="仿宋" w:hAnsi="仿宋" w:eastAsia="仿宋"/>
          <w:sz w:val="32"/>
          <w:szCs w:val="32"/>
        </w:rPr>
      </w:pPr>
      <w:r>
        <w:rPr>
          <w:rFonts w:hint="eastAsia" w:ascii="仿宋" w:hAnsi="仿宋" w:eastAsia="仿宋"/>
          <w:sz w:val="32"/>
          <w:szCs w:val="32"/>
        </w:rPr>
        <w:t>学校建设有躬行楼、知行楼分别为1、2、3层为实训场地，建筑面积5120平方米满足学校实训实验需求，2017年度校内实训设备1233.9万元(图3)，各类专业在籍人数1764人，生均6994.9元。2018年在籍人数</w:t>
      </w:r>
      <w:r>
        <w:rPr>
          <w:rFonts w:hint="eastAsia" w:ascii="仿宋" w:hAnsi="仿宋" w:eastAsia="仿宋"/>
          <w:sz w:val="32"/>
          <w:szCs w:val="32"/>
          <w:lang w:val="en-US" w:eastAsia="zh-CN"/>
        </w:rPr>
        <w:t>2063</w:t>
      </w:r>
      <w:r>
        <w:rPr>
          <w:rFonts w:hint="eastAsia" w:ascii="仿宋" w:hAnsi="仿宋" w:eastAsia="仿宋"/>
          <w:sz w:val="32"/>
          <w:szCs w:val="32"/>
        </w:rPr>
        <w:t>人，</w:t>
      </w:r>
      <w:r>
        <w:rPr>
          <w:rFonts w:hint="eastAsia" w:ascii="仿宋" w:hAnsi="仿宋" w:eastAsia="仿宋"/>
          <w:sz w:val="32"/>
          <w:szCs w:val="32"/>
          <w:lang w:val="en-US" w:eastAsia="zh-CN"/>
        </w:rPr>
        <w:t>2018</w:t>
      </w:r>
      <w:r>
        <w:rPr>
          <w:rFonts w:hint="eastAsia" w:ascii="仿宋" w:hAnsi="仿宋" w:eastAsia="仿宋"/>
          <w:sz w:val="32"/>
          <w:szCs w:val="32"/>
        </w:rPr>
        <w:t>年新增航空专业实训场地500平方米，室内运动场500平方米</w:t>
      </w:r>
      <w:r>
        <w:rPr>
          <w:rFonts w:hint="eastAsia" w:ascii="仿宋" w:hAnsi="仿宋" w:eastAsia="仿宋"/>
          <w:sz w:val="32"/>
          <w:szCs w:val="32"/>
          <w:lang w:eastAsia="zh-CN"/>
        </w:rPr>
        <w:t>。</w:t>
      </w:r>
      <w:r>
        <w:rPr>
          <w:rFonts w:hint="eastAsia" w:ascii="仿宋" w:hAnsi="仿宋" w:eastAsia="仿宋"/>
          <w:sz w:val="32"/>
          <w:szCs w:val="32"/>
        </w:rPr>
        <w:t>增加航空专业实训模型飞机80万元，实训工位数20个。</w:t>
      </w:r>
    </w:p>
    <w:p>
      <w:pPr>
        <w:rPr>
          <w:rFonts w:ascii="仿宋" w:hAnsi="仿宋" w:eastAsia="仿宋"/>
          <w:sz w:val="32"/>
          <w:szCs w:val="32"/>
        </w:rPr>
      </w:pPr>
      <w:r>
        <w:rPr>
          <w:rFonts w:hint="eastAsia" w:ascii="仿宋" w:hAnsi="仿宋" w:eastAsia="仿宋"/>
          <w:sz w:val="32"/>
          <w:szCs w:val="32"/>
        </w:rPr>
        <w:t>2018年实训场地面积6120平方米，实训设备1313.9万元，生均6368.9元，较上一年度生均减少626元</w:t>
      </w:r>
      <w:r>
        <w:rPr>
          <w:rFonts w:hint="eastAsia" w:ascii="仿宋" w:hAnsi="仿宋" w:eastAsia="仿宋"/>
          <w:sz w:val="32"/>
          <w:szCs w:val="32"/>
          <w:lang w:eastAsia="zh-CN"/>
        </w:rPr>
        <w:t>。</w:t>
      </w:r>
      <w:r>
        <w:rPr>
          <w:rFonts w:hint="eastAsia" w:ascii="仿宋" w:hAnsi="仿宋" w:eastAsia="仿宋"/>
          <w:sz w:val="32"/>
          <w:szCs w:val="32"/>
        </w:rPr>
        <w:t>（图4）</w:t>
      </w:r>
    </w:p>
    <w:p>
      <w:pPr>
        <w:ind w:firstLine="640" w:firstLineChars="200"/>
        <w:rPr>
          <w:rFonts w:ascii="仿宋" w:hAnsi="仿宋" w:eastAsia="仿宋"/>
          <w:sz w:val="32"/>
          <w:szCs w:val="32"/>
        </w:rPr>
      </w:pPr>
      <w:r>
        <w:rPr>
          <w:rFonts w:hint="eastAsia" w:ascii="仿宋" w:hAnsi="仿宋" w:eastAsia="仿宋"/>
          <w:sz w:val="32"/>
          <w:szCs w:val="32"/>
        </w:rPr>
        <w:t>学校2017年度实训工位数1002个，生均工位数0.56个，2018年实训工位数1022个，生均工位数0.5</w:t>
      </w:r>
      <w:r>
        <w:rPr>
          <w:rFonts w:hint="eastAsia" w:ascii="仿宋" w:hAnsi="仿宋" w:eastAsia="仿宋"/>
          <w:sz w:val="32"/>
          <w:szCs w:val="32"/>
          <w:lang w:val="en-US" w:eastAsia="zh-CN"/>
        </w:rPr>
        <w:t>0</w:t>
      </w:r>
      <w:r>
        <w:rPr>
          <w:rFonts w:hint="eastAsia" w:ascii="仿宋" w:hAnsi="仿宋" w:eastAsia="仿宋"/>
          <w:sz w:val="32"/>
          <w:szCs w:val="32"/>
        </w:rPr>
        <w:t>个，2018年较上一年度生均</w:t>
      </w:r>
      <w:r>
        <w:rPr>
          <w:rFonts w:hint="eastAsia" w:ascii="仿宋" w:hAnsi="仿宋" w:eastAsia="仿宋"/>
          <w:sz w:val="32"/>
          <w:szCs w:val="32"/>
          <w:lang w:eastAsia="zh-CN"/>
        </w:rPr>
        <w:t>减少了</w:t>
      </w:r>
      <w:r>
        <w:rPr>
          <w:rFonts w:hint="eastAsia" w:ascii="仿宋" w:hAnsi="仿宋" w:eastAsia="仿宋"/>
          <w:sz w:val="32"/>
          <w:szCs w:val="32"/>
          <w:lang w:val="en-US" w:eastAsia="zh-CN"/>
        </w:rPr>
        <w:t>0.06</w:t>
      </w:r>
      <w:r>
        <w:rPr>
          <w:rFonts w:hint="eastAsia" w:ascii="仿宋" w:hAnsi="仿宋" w:eastAsia="仿宋"/>
          <w:sz w:val="32"/>
          <w:szCs w:val="32"/>
        </w:rPr>
        <w:t>个（图5）。</w:t>
      </w:r>
    </w:p>
    <w:p>
      <w:pPr>
        <w:rPr>
          <w:rFonts w:ascii="仿宋" w:hAnsi="仿宋" w:eastAsia="仿宋"/>
          <w:sz w:val="32"/>
          <w:szCs w:val="32"/>
        </w:rPr>
      </w:pPr>
      <w:r>
        <w:rPr>
          <w:rFonts w:hint="eastAsia" w:ascii="仿宋" w:hAnsi="仿宋" w:eastAsia="仿宋"/>
          <w:sz w:val="32"/>
          <w:szCs w:val="32"/>
        </w:rPr>
        <w:t xml:space="preserve">    学校2017年度实训场地面积5120平方米，生均面积2.9平方米，2018年实训场地面积6120平方米，生均面积3.</w:t>
      </w:r>
      <w:r>
        <w:rPr>
          <w:rFonts w:hint="eastAsia" w:ascii="仿宋" w:hAnsi="仿宋" w:eastAsia="仿宋"/>
          <w:sz w:val="32"/>
          <w:szCs w:val="32"/>
          <w:lang w:val="en-US" w:eastAsia="zh-CN"/>
        </w:rPr>
        <w:t>0</w:t>
      </w:r>
      <w:r>
        <w:rPr>
          <w:rFonts w:hint="eastAsia" w:ascii="仿宋" w:hAnsi="仿宋" w:eastAsia="仿宋"/>
          <w:sz w:val="32"/>
          <w:szCs w:val="32"/>
        </w:rPr>
        <w:t>平方米，2018年较上一年度生均增加0</w:t>
      </w:r>
      <w:r>
        <w:rPr>
          <w:rFonts w:hint="eastAsia" w:ascii="仿宋" w:hAnsi="仿宋" w:eastAsia="仿宋"/>
          <w:sz w:val="32"/>
          <w:szCs w:val="32"/>
          <w:lang w:val="en-US" w:eastAsia="zh-CN"/>
        </w:rPr>
        <w:t>.1</w:t>
      </w:r>
      <w:r>
        <w:rPr>
          <w:rFonts w:hint="eastAsia" w:ascii="仿宋" w:hAnsi="仿宋" w:eastAsia="仿宋"/>
          <w:sz w:val="32"/>
          <w:szCs w:val="32"/>
        </w:rPr>
        <w:t>平方米。</w:t>
      </w:r>
    </w:p>
    <w:p>
      <w:pPr>
        <w:ind w:firstLine="645"/>
        <w:rPr>
          <w:rFonts w:ascii="仿宋" w:hAnsi="仿宋" w:eastAsia="仿宋"/>
          <w:sz w:val="32"/>
          <w:szCs w:val="32"/>
        </w:rPr>
      </w:pPr>
      <w:r>
        <w:rPr>
          <w:rFonts w:hint="eastAsia" w:ascii="仿宋" w:hAnsi="仿宋" w:eastAsia="仿宋"/>
          <w:sz w:val="32"/>
          <w:szCs w:val="32"/>
        </w:rPr>
        <w:t>学校2017年度纸质图书23077册，生均1</w:t>
      </w:r>
      <w:r>
        <w:rPr>
          <w:rFonts w:hint="eastAsia" w:ascii="仿宋" w:hAnsi="仿宋" w:eastAsia="仿宋"/>
          <w:sz w:val="32"/>
          <w:szCs w:val="32"/>
          <w:lang w:val="en-US" w:eastAsia="zh-CN"/>
        </w:rPr>
        <w:t>1</w:t>
      </w:r>
      <w:r>
        <w:rPr>
          <w:rFonts w:hint="eastAsia" w:ascii="仿宋" w:hAnsi="仿宋" w:eastAsia="仿宋"/>
          <w:sz w:val="32"/>
          <w:szCs w:val="32"/>
        </w:rPr>
        <w:t>.0册，较上一年度生均</w:t>
      </w:r>
      <w:r>
        <w:rPr>
          <w:rFonts w:hint="eastAsia" w:ascii="仿宋" w:hAnsi="仿宋" w:eastAsia="仿宋"/>
          <w:sz w:val="32"/>
          <w:szCs w:val="32"/>
          <w:lang w:eastAsia="zh-CN"/>
        </w:rPr>
        <w:t>减少</w:t>
      </w:r>
      <w:r>
        <w:rPr>
          <w:rFonts w:hint="eastAsia" w:ascii="仿宋" w:hAnsi="仿宋" w:eastAsia="仿宋"/>
          <w:sz w:val="32"/>
          <w:szCs w:val="32"/>
          <w:lang w:val="en-US" w:eastAsia="zh-CN"/>
        </w:rPr>
        <w:t>2.0</w:t>
      </w:r>
      <w:r>
        <w:rPr>
          <w:rFonts w:hint="eastAsia" w:ascii="仿宋" w:hAnsi="仿宋" w:eastAsia="仿宋"/>
          <w:sz w:val="32"/>
          <w:szCs w:val="32"/>
        </w:rPr>
        <w:t>册（图6）。</w:t>
      </w:r>
    </w:p>
    <w:p>
      <w:pPr>
        <w:ind w:firstLine="645"/>
        <w:rPr>
          <w:rFonts w:ascii="仿宋" w:hAnsi="仿宋" w:eastAsia="仿宋"/>
          <w:sz w:val="32"/>
          <w:szCs w:val="32"/>
        </w:rPr>
      </w:pPr>
      <w:r>
        <w:rPr>
          <w:rFonts w:hint="eastAsia" w:ascii="仿宋" w:hAnsi="仿宋" w:eastAsia="仿宋"/>
          <w:sz w:val="32"/>
          <w:szCs w:val="32"/>
        </w:rPr>
        <w:t>图3：</w:t>
      </w:r>
    </w:p>
    <w:p>
      <w:pPr>
        <w:rPr>
          <w:rFonts w:ascii="仿宋" w:hAnsi="仿宋" w:eastAsia="仿宋"/>
        </w:rPr>
      </w:pPr>
    </w:p>
    <w:p>
      <w:pPr>
        <w:rPr>
          <w:rFonts w:ascii="仿宋" w:hAnsi="仿宋" w:eastAsia="仿宋"/>
        </w:rPr>
      </w:pPr>
    </w:p>
    <w:p>
      <w:pPr>
        <w:rPr>
          <w:rFonts w:ascii="仿宋" w:hAnsi="仿宋" w:eastAsia="仿宋"/>
        </w:rPr>
      </w:pPr>
      <w:r>
        <w:rPr>
          <w:color w:val="FFFFFF" w:themeColor="background1"/>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-5669280</wp:posOffset>
            </wp:positionV>
            <wp:extent cx="5534025" cy="3057525"/>
            <wp:effectExtent l="4445" t="4445" r="5080"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color w:val="FFFFFF" w:themeColor="background1"/>
        </w:rPr>
        <w:drawing>
          <wp:anchor distT="0" distB="0" distL="114300" distR="114300" simplePos="0" relativeHeight="251662336" behindDoc="0" locked="0" layoutInCell="1" allowOverlap="1">
            <wp:simplePos x="0" y="0"/>
            <wp:positionH relativeFrom="column">
              <wp:posOffset>-990600</wp:posOffset>
            </wp:positionH>
            <wp:positionV relativeFrom="paragraph">
              <wp:posOffset>-5516880</wp:posOffset>
            </wp:positionV>
            <wp:extent cx="5534025" cy="3057525"/>
            <wp:effectExtent l="4445" t="4445" r="5080" b="5080"/>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rPr>
        <w:drawing>
          <wp:anchor distT="0" distB="0" distL="114300" distR="114300" simplePos="0" relativeHeight="251659264" behindDoc="0" locked="0" layoutInCell="1" allowOverlap="1">
            <wp:simplePos x="0" y="0"/>
            <wp:positionH relativeFrom="column">
              <wp:posOffset>57150</wp:posOffset>
            </wp:positionH>
            <wp:positionV relativeFrom="paragraph">
              <wp:posOffset>9525</wp:posOffset>
            </wp:positionV>
            <wp:extent cx="5534025" cy="3057525"/>
            <wp:effectExtent l="19050" t="0" r="9525" b="0"/>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sz w:val="32"/>
          <w:szCs w:val="32"/>
        </w:rPr>
      </w:pPr>
      <w:r>
        <w:rPr>
          <w:rFonts w:hint="eastAsia" w:ascii="仿宋" w:hAnsi="仿宋" w:eastAsia="仿宋"/>
          <w:sz w:val="32"/>
          <w:szCs w:val="32"/>
        </w:rPr>
        <w:t>图4：</w:t>
      </w:r>
    </w:p>
    <w:p>
      <w:pPr>
        <w:rPr>
          <w:rFonts w:ascii="仿宋" w:hAnsi="仿宋" w:eastAsia="仿宋"/>
        </w:rPr>
      </w:pPr>
    </w:p>
    <w:p>
      <w:pPr>
        <w:rPr>
          <w:rFonts w:ascii="仿宋" w:hAnsi="仿宋" w:eastAsia="仿宋"/>
        </w:rPr>
      </w:pPr>
      <w:r>
        <w:rPr>
          <w:rFonts w:hint="eastAsia"/>
        </w:rPr>
        <w:drawing>
          <wp:inline distT="0" distB="0" distL="0" distR="0">
            <wp:extent cx="5274310" cy="3076575"/>
            <wp:effectExtent l="5080" t="4445" r="16510" b="508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仿宋" w:hAnsi="仿宋" w:eastAsia="仿宋" w:cs="仿宋_GB2312"/>
          <w:sz w:val="32"/>
          <w:szCs w:val="32"/>
        </w:rPr>
      </w:pPr>
    </w:p>
    <w:p>
      <w:pPr>
        <w:rPr>
          <w:rFonts w:ascii="仿宋" w:hAnsi="仿宋" w:eastAsia="仿宋" w:cs="仿宋_GB2312"/>
          <w:sz w:val="32"/>
          <w:szCs w:val="32"/>
        </w:rPr>
      </w:pPr>
      <w:r>
        <w:rPr>
          <w:rFonts w:hint="eastAsia" w:ascii="仿宋" w:hAnsi="仿宋" w:eastAsia="仿宋" w:cs="仿宋_GB2312"/>
          <w:sz w:val="32"/>
          <w:szCs w:val="32"/>
        </w:rPr>
        <w:t>图5：</w:t>
      </w:r>
    </w:p>
    <w:p>
      <w:pPr>
        <w:rPr>
          <w:rFonts w:ascii="仿宋" w:hAnsi="仿宋" w:eastAsia="仿宋" w:cs="仿宋_GB2312"/>
          <w:sz w:val="32"/>
          <w:szCs w:val="32"/>
        </w:rPr>
      </w:pPr>
      <w:r>
        <w:rPr>
          <w:rFonts w:hint="eastAsia"/>
        </w:rPr>
        <w:drawing>
          <wp:anchor distT="0" distB="0" distL="114300" distR="114300" simplePos="0" relativeHeight="251663360" behindDoc="0" locked="0" layoutInCell="1" allowOverlap="1">
            <wp:simplePos x="0" y="0"/>
            <wp:positionH relativeFrom="column">
              <wp:posOffset>95250</wp:posOffset>
            </wp:positionH>
            <wp:positionV relativeFrom="paragraph">
              <wp:posOffset>5715</wp:posOffset>
            </wp:positionV>
            <wp:extent cx="5220335" cy="3190875"/>
            <wp:effectExtent l="4445" t="4445" r="13970" b="5080"/>
            <wp:wrapNone/>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
          <w:bCs/>
          <w:sz w:val="36"/>
          <w:szCs w:val="36"/>
        </w:rPr>
      </w:pPr>
    </w:p>
    <w:p>
      <w:pPr>
        <w:pStyle w:val="11"/>
        <w:ind w:left="750" w:firstLine="0" w:firstLineChars="0"/>
        <w:rPr>
          <w:rFonts w:ascii="仿宋" w:hAnsi="仿宋" w:eastAsia="仿宋" w:cs="仿宋_GB2312"/>
          <w:bCs/>
          <w:sz w:val="32"/>
          <w:szCs w:val="32"/>
        </w:rPr>
      </w:pPr>
    </w:p>
    <w:p>
      <w:pPr>
        <w:jc w:val="left"/>
        <w:rPr>
          <w:rFonts w:ascii="仿宋" w:hAnsi="仿宋" w:eastAsia="仿宋" w:cs="仿宋_GB2312"/>
          <w:bCs/>
          <w:sz w:val="32"/>
          <w:szCs w:val="32"/>
        </w:rPr>
      </w:pPr>
      <w:r>
        <w:rPr>
          <w:rFonts w:hint="eastAsia" w:ascii="仿宋" w:hAnsi="仿宋" w:eastAsia="仿宋" w:cs="仿宋_GB2312"/>
          <w:bCs/>
          <w:sz w:val="32"/>
          <w:szCs w:val="32"/>
        </w:rPr>
        <w:t>图6：</w:t>
      </w:r>
    </w:p>
    <w:p>
      <w:pPr>
        <w:jc w:val="left"/>
        <w:rPr>
          <w:rFonts w:ascii="仿宋" w:hAnsi="仿宋" w:eastAsia="仿宋" w:cs="仿宋_GB2312"/>
          <w:bCs/>
          <w:sz w:val="32"/>
          <w:szCs w:val="32"/>
        </w:rPr>
      </w:pPr>
      <w:r>
        <w:rPr>
          <w:rFonts w:hint="eastAsia"/>
        </w:rPr>
        <w:drawing>
          <wp:inline distT="0" distB="0" distL="0" distR="0">
            <wp:extent cx="5274310" cy="3076575"/>
            <wp:effectExtent l="5080" t="4445" r="1651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ascii="仿宋" w:hAnsi="仿宋" w:eastAsia="仿宋" w:cs="仿宋_GB2312"/>
          <w:b/>
          <w:bCs/>
          <w:sz w:val="36"/>
          <w:szCs w:val="36"/>
        </w:rPr>
      </w:pPr>
    </w:p>
    <w:p>
      <w:pPr>
        <w:rPr>
          <w:rFonts w:ascii="仿宋" w:hAnsi="仿宋" w:eastAsia="仿宋" w:cs="仿宋_GB2312"/>
          <w:b/>
          <w:bCs/>
          <w:sz w:val="36"/>
          <w:szCs w:val="36"/>
        </w:rPr>
      </w:pPr>
      <w:r>
        <w:rPr>
          <w:rFonts w:hint="eastAsia" w:ascii="仿宋" w:hAnsi="仿宋" w:eastAsia="仿宋" w:cs="仿宋_GB2312"/>
          <w:b/>
          <w:bCs/>
          <w:sz w:val="36"/>
          <w:szCs w:val="36"/>
        </w:rPr>
        <w:t>二、学生发展</w:t>
      </w: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2.1学生素质</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我校秉承立德树人、德技兼修的原则</w:t>
      </w:r>
      <w:r>
        <w:rPr>
          <w:rFonts w:ascii="仿宋" w:hAnsi="仿宋" w:eastAsia="仿宋" w:cstheme="minorBidi"/>
          <w:color w:val="000000" w:themeColor="text1"/>
          <w:kern w:val="2"/>
          <w:sz w:val="32"/>
          <w:szCs w:val="32"/>
        </w:rPr>
        <w:t>，</w:t>
      </w:r>
      <w:r>
        <w:rPr>
          <w:rFonts w:hint="eastAsia" w:ascii="仿宋" w:hAnsi="仿宋" w:eastAsia="仿宋" w:cstheme="minorBidi"/>
          <w:color w:val="000000" w:themeColor="text1"/>
          <w:kern w:val="2"/>
          <w:sz w:val="32"/>
          <w:szCs w:val="32"/>
        </w:rPr>
        <w:t>优化育人措施，培养德技兼修人才。首先，在</w:t>
      </w:r>
      <w:r>
        <w:rPr>
          <w:rFonts w:ascii="仿宋" w:hAnsi="仿宋" w:eastAsia="仿宋" w:cstheme="minorBidi"/>
          <w:color w:val="000000" w:themeColor="text1"/>
          <w:kern w:val="2"/>
          <w:sz w:val="32"/>
          <w:szCs w:val="32"/>
        </w:rPr>
        <w:t>课程设置上</w:t>
      </w:r>
      <w:r>
        <w:rPr>
          <w:rFonts w:hint="eastAsia" w:ascii="仿宋" w:hAnsi="仿宋" w:eastAsia="仿宋" w:cstheme="minorBidi"/>
          <w:color w:val="000000" w:themeColor="text1"/>
          <w:kern w:val="2"/>
          <w:sz w:val="32"/>
          <w:szCs w:val="32"/>
        </w:rPr>
        <w:t>，</w:t>
      </w:r>
      <w:r>
        <w:rPr>
          <w:rFonts w:ascii="仿宋" w:hAnsi="仿宋" w:eastAsia="仿宋" w:cstheme="minorBidi"/>
          <w:color w:val="000000" w:themeColor="text1"/>
          <w:kern w:val="2"/>
          <w:sz w:val="32"/>
          <w:szCs w:val="32"/>
        </w:rPr>
        <w:t>公共基础课程和专业技能课程</w:t>
      </w:r>
      <w:r>
        <w:rPr>
          <w:rFonts w:hint="eastAsia" w:ascii="仿宋" w:hAnsi="仿宋" w:eastAsia="仿宋" w:cstheme="minorBidi"/>
          <w:color w:val="000000" w:themeColor="text1"/>
          <w:kern w:val="2"/>
          <w:sz w:val="32"/>
          <w:szCs w:val="32"/>
        </w:rPr>
        <w:t>科学开设、学时分配合理，加强了对学生思想素质的提高和专业技术技能的提升。2018年，文化课合格率89%，体质测评合格率98%，专业技能合格率82%，职业资格证考证率77%，一次性毕业率95%（与上一年度相比变化情况如图7）。在教学中，突出了以诚信、敬业为重点的职业道德教育，强化了思想政治教育，重视了心理健康教育和情商教育，发挥了学校教育、家庭教育和社会教育的合力，把学生培养成了具有良好的思想道德品质、拥有熟练的职业技能、善于创新创业的高素质劳动者。其次，在学生管理工作中，强化学生良好品德行为习惯的养成，探索学生良好心理素质形成的规律与方法；注重加强学生日常行为规范、文明礼貌和养成教育；深入开展诚信、感恩、挫折教育，提升学生自我完善的内驱力；以公民道德和普法教育为重点，加强对学生的法制、交通安全、消防知识、反校园欺凌专项整治等教育；以组织活动为载体，增强学生的凝聚力，丰富学生的精神文化生活，培养学生良好的行为品质，促进学生健康、全面发展。</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图7：</w:t>
      </w:r>
    </w:p>
    <w:p>
      <w:pPr>
        <w:pStyle w:val="6"/>
        <w:spacing w:before="0" w:beforeAutospacing="0" w:after="0" w:afterAutospacing="0" w:line="360" w:lineRule="auto"/>
        <w:jc w:val="both"/>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drawing>
          <wp:inline distT="0" distB="0" distL="114300" distR="114300">
            <wp:extent cx="5270500" cy="3542030"/>
            <wp:effectExtent l="0" t="0" r="6350" b="1270"/>
            <wp:docPr id="12" name="图片 3" descr="730416F8708D3D5253E66263A9B9C7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730416F8708D3D5253E66263A9B9C71C"/>
                    <pic:cNvPicPr>
                      <a:picLocks noChangeAspect="1"/>
                    </pic:cNvPicPr>
                  </pic:nvPicPr>
                  <pic:blipFill>
                    <a:blip r:embed="rId13" cstate="print"/>
                    <a:stretch>
                      <a:fillRect/>
                    </a:stretch>
                  </pic:blipFill>
                  <pic:spPr>
                    <a:xfrm>
                      <a:off x="0" y="0"/>
                      <a:ext cx="5270500" cy="3542030"/>
                    </a:xfrm>
                    <a:prstGeom prst="rect">
                      <a:avLst/>
                    </a:prstGeom>
                  </pic:spPr>
                </pic:pic>
              </a:graphicData>
            </a:graphic>
          </wp:inline>
        </w:drawing>
      </w: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2.2在校体验</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建设和谐幸福校园是我校的重点工作，学校通过问卷调查的形式进行了各项满意度调查，通过随机抽取数据分析，全校学生理论学习满意度98.6%，专业学习满意度96%，校内实习满意度96.5%，校外实习满意度96.2%，校园文化社团活动满意度95.9%，生活满意度98%，安全满意度98.8%，毕业生满意度94.5%（图8）。</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图8</w:t>
      </w:r>
    </w:p>
    <w:p>
      <w:pPr>
        <w:rPr>
          <w:rFonts w:ascii="仿宋" w:hAnsi="仿宋" w:eastAsia="仿宋" w:cs="仿宋_GB2312"/>
          <w:sz w:val="32"/>
          <w:szCs w:val="32"/>
        </w:rPr>
      </w:pPr>
      <w:r>
        <w:rPr>
          <w:rFonts w:ascii="仿宋" w:hAnsi="仿宋" w:eastAsia="仿宋"/>
        </w:rPr>
        <w:drawing>
          <wp:inline distT="0" distB="0" distL="0" distR="0">
            <wp:extent cx="5274310" cy="3076575"/>
            <wp:effectExtent l="19050" t="0" r="21590" b="0"/>
            <wp:docPr id="13"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firstLineChars="200"/>
        <w:rPr>
          <w:rFonts w:ascii="仿宋" w:hAnsi="仿宋" w:eastAsia="仿宋" w:cs="仿宋_GB2312"/>
          <w:sz w:val="32"/>
          <w:szCs w:val="32"/>
        </w:rPr>
      </w:pP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2.3资助情况</w:t>
      </w:r>
    </w:p>
    <w:p>
      <w:pPr>
        <w:ind w:firstLine="640" w:firstLineChars="200"/>
        <w:rPr>
          <w:rFonts w:ascii="仿宋" w:hAnsi="仿宋" w:eastAsia="仿宋"/>
          <w:sz w:val="32"/>
          <w:szCs w:val="32"/>
        </w:rPr>
      </w:pPr>
      <w:r>
        <w:rPr>
          <w:rFonts w:hint="eastAsia" w:ascii="仿宋" w:hAnsi="仿宋" w:eastAsia="仿宋"/>
          <w:sz w:val="32"/>
          <w:szCs w:val="32"/>
        </w:rPr>
        <w:t>我校在市、区教育主管部门领导下，在资助评审过程中，本着公开、公平、公正的原则，资助范围、资助对象、资助标准符合政策要求不存在暗箱操作、人为调节分配或平均分配、不讲人情，对评审结果进行有效公示。2018年春季2015级免学费人数773人，2016级438人,2017级461人，合计1672人，共计金额158.84万元；享受助学金人数361人，合计金额36.1万元。2018免秋季2016级免学费人数438人，2017级436人，2018级1072人，合计1946人，共计金额184.87万元；享受助学金人数518人，合计金额51.8万元。学生助学金均已打卡发放到每一位学生手里（表3、表4）。</w:t>
      </w:r>
    </w:p>
    <w:p>
      <w:pPr>
        <w:ind w:firstLine="640" w:firstLineChars="200"/>
        <w:rPr>
          <w:rFonts w:ascii="仿宋" w:hAnsi="仿宋" w:eastAsia="仿宋"/>
          <w:sz w:val="32"/>
          <w:szCs w:val="32"/>
        </w:rPr>
      </w:pPr>
      <w:r>
        <w:rPr>
          <w:rFonts w:hint="eastAsia" w:ascii="仿宋" w:hAnsi="仿宋" w:eastAsia="仿宋"/>
          <w:sz w:val="32"/>
          <w:szCs w:val="32"/>
        </w:rPr>
        <w:t>表3：</w:t>
      </w:r>
    </w:p>
    <w:tbl>
      <w:tblPr>
        <w:tblStyle w:val="7"/>
        <w:tblpPr w:leftFromText="180" w:rightFromText="180" w:vertAnchor="text" w:horzAnchor="margin" w:tblpY="500"/>
        <w:tblOverlap w:val="never"/>
        <w:tblW w:w="8920" w:type="dxa"/>
        <w:tblInd w:w="0" w:type="dxa"/>
        <w:tblLayout w:type="fixed"/>
        <w:tblCellMar>
          <w:top w:w="0" w:type="dxa"/>
          <w:left w:w="108" w:type="dxa"/>
          <w:bottom w:w="0" w:type="dxa"/>
          <w:right w:w="108" w:type="dxa"/>
        </w:tblCellMar>
      </w:tblPr>
      <w:tblGrid>
        <w:gridCol w:w="791"/>
        <w:gridCol w:w="599"/>
        <w:gridCol w:w="958"/>
        <w:gridCol w:w="959"/>
        <w:gridCol w:w="1198"/>
        <w:gridCol w:w="839"/>
        <w:gridCol w:w="1002"/>
        <w:gridCol w:w="2120"/>
        <w:gridCol w:w="454"/>
      </w:tblGrid>
      <w:tr>
        <w:tblPrEx>
          <w:tblCellMar>
            <w:top w:w="0" w:type="dxa"/>
            <w:left w:w="108" w:type="dxa"/>
            <w:bottom w:w="0" w:type="dxa"/>
            <w:right w:w="108" w:type="dxa"/>
          </w:tblCellMar>
        </w:tblPrEx>
        <w:trPr>
          <w:trHeight w:val="529" w:hRule="atLeast"/>
        </w:trPr>
        <w:tc>
          <w:tcPr>
            <w:tcW w:w="7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学期</w:t>
            </w:r>
          </w:p>
        </w:tc>
        <w:tc>
          <w:tcPr>
            <w:tcW w:w="812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免学费人数及金额</w:t>
            </w:r>
          </w:p>
        </w:tc>
      </w:tr>
      <w:tr>
        <w:tblPrEx>
          <w:tblCellMar>
            <w:top w:w="0" w:type="dxa"/>
            <w:left w:w="108" w:type="dxa"/>
            <w:bottom w:w="0" w:type="dxa"/>
            <w:right w:w="108" w:type="dxa"/>
          </w:tblCellMar>
        </w:tblPrEx>
        <w:trPr>
          <w:trHeight w:val="598" w:hRule="atLeast"/>
        </w:trPr>
        <w:tc>
          <w:tcPr>
            <w:tcW w:w="79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5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2015级</w:t>
            </w:r>
          </w:p>
        </w:tc>
        <w:tc>
          <w:tcPr>
            <w:tcW w:w="958"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金额（万元）</w:t>
            </w:r>
          </w:p>
        </w:tc>
        <w:tc>
          <w:tcPr>
            <w:tcW w:w="959"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2016级</w:t>
            </w:r>
          </w:p>
        </w:tc>
        <w:tc>
          <w:tcPr>
            <w:tcW w:w="1198"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金额（万元）</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2017级</w:t>
            </w:r>
          </w:p>
        </w:tc>
        <w:tc>
          <w:tcPr>
            <w:tcW w:w="1002"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金额（万元）</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合计（万元）</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598"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2018年春季</w:t>
            </w:r>
          </w:p>
        </w:tc>
        <w:tc>
          <w:tcPr>
            <w:tcW w:w="5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773</w:t>
            </w:r>
          </w:p>
        </w:tc>
        <w:tc>
          <w:tcPr>
            <w:tcW w:w="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73.435</w:t>
            </w: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438</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41.61</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461</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43.795</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158.84</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598"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5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2016级</w:t>
            </w:r>
          </w:p>
        </w:tc>
        <w:tc>
          <w:tcPr>
            <w:tcW w:w="958"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金额（万元）</w:t>
            </w:r>
          </w:p>
        </w:tc>
        <w:tc>
          <w:tcPr>
            <w:tcW w:w="959"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2017级</w:t>
            </w:r>
          </w:p>
        </w:tc>
        <w:tc>
          <w:tcPr>
            <w:tcW w:w="1198"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金额（万元）</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2018级</w:t>
            </w:r>
          </w:p>
        </w:tc>
        <w:tc>
          <w:tcPr>
            <w:tcW w:w="1002"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金额（万元）</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合计（万元）</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607"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2018年秋季</w:t>
            </w:r>
          </w:p>
        </w:tc>
        <w:tc>
          <w:tcPr>
            <w:tcW w:w="5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438</w:t>
            </w:r>
          </w:p>
        </w:tc>
        <w:tc>
          <w:tcPr>
            <w:tcW w:w="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41.61</w:t>
            </w: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436</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41.42</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1072</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101.84</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184.87</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r>
    </w:tbl>
    <w:p>
      <w:pPr>
        <w:ind w:firstLine="640" w:firstLineChars="200"/>
        <w:rPr>
          <w:rFonts w:ascii="仿宋" w:hAnsi="仿宋" w:eastAsia="仿宋"/>
          <w:sz w:val="32"/>
          <w:szCs w:val="32"/>
        </w:rPr>
      </w:pPr>
      <w:r>
        <w:rPr>
          <w:rFonts w:hint="eastAsia" w:ascii="仿宋" w:hAnsi="仿宋" w:eastAsia="仿宋"/>
          <w:sz w:val="32"/>
          <w:szCs w:val="32"/>
        </w:rPr>
        <w:t>表4：</w:t>
      </w:r>
    </w:p>
    <w:p>
      <w:pPr>
        <w:rPr>
          <w:rFonts w:ascii="仿宋" w:hAnsi="仿宋" w:eastAsia="仿宋"/>
          <w:szCs w:val="21"/>
        </w:rPr>
      </w:pPr>
    </w:p>
    <w:tbl>
      <w:tblPr>
        <w:tblStyle w:val="7"/>
        <w:tblpPr w:leftFromText="180" w:rightFromText="180" w:vertAnchor="text" w:horzAnchor="margin" w:tblpY="125"/>
        <w:tblW w:w="9080" w:type="dxa"/>
        <w:tblInd w:w="0" w:type="dxa"/>
        <w:tblLayout w:type="fixed"/>
        <w:tblCellMar>
          <w:top w:w="0" w:type="dxa"/>
          <w:left w:w="108" w:type="dxa"/>
          <w:bottom w:w="0" w:type="dxa"/>
          <w:right w:w="108" w:type="dxa"/>
        </w:tblCellMar>
      </w:tblPr>
      <w:tblGrid>
        <w:gridCol w:w="1480"/>
        <w:gridCol w:w="1038"/>
        <w:gridCol w:w="1611"/>
        <w:gridCol w:w="1082"/>
        <w:gridCol w:w="1567"/>
        <w:gridCol w:w="1708"/>
        <w:gridCol w:w="594"/>
      </w:tblGrid>
      <w:tr>
        <w:tblPrEx>
          <w:tblCellMar>
            <w:top w:w="0" w:type="dxa"/>
            <w:left w:w="108" w:type="dxa"/>
            <w:bottom w:w="0" w:type="dxa"/>
            <w:right w:w="108" w:type="dxa"/>
          </w:tblCellMar>
        </w:tblPrEx>
        <w:trPr>
          <w:trHeight w:val="285" w:hRule="atLeast"/>
        </w:trPr>
        <w:tc>
          <w:tcPr>
            <w:tcW w:w="14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学期</w:t>
            </w:r>
          </w:p>
        </w:tc>
        <w:tc>
          <w:tcPr>
            <w:tcW w:w="760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助学金人数及金额</w:t>
            </w:r>
          </w:p>
        </w:tc>
      </w:tr>
      <w:tr>
        <w:tblPrEx>
          <w:tblCellMar>
            <w:top w:w="0" w:type="dxa"/>
            <w:left w:w="108" w:type="dxa"/>
            <w:bottom w:w="0" w:type="dxa"/>
            <w:right w:w="108" w:type="dxa"/>
          </w:tblCellMar>
        </w:tblPrEx>
        <w:trPr>
          <w:trHeight w:val="285" w:hRule="atLeast"/>
        </w:trPr>
        <w:tc>
          <w:tcPr>
            <w:tcW w:w="148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38"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2016级</w:t>
            </w:r>
          </w:p>
        </w:tc>
        <w:tc>
          <w:tcPr>
            <w:tcW w:w="1611"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金额（万元）</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2017级</w:t>
            </w:r>
          </w:p>
        </w:tc>
        <w:tc>
          <w:tcPr>
            <w:tcW w:w="1567"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金额（万元）</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合计（万元）</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备注</w:t>
            </w:r>
          </w:p>
        </w:tc>
      </w:tr>
      <w:tr>
        <w:tblPrEx>
          <w:tblCellMar>
            <w:top w:w="0" w:type="dxa"/>
            <w:left w:w="108" w:type="dxa"/>
            <w:bottom w:w="0" w:type="dxa"/>
            <w:right w:w="108" w:type="dxa"/>
          </w:tblCellMar>
        </w:tblPrEx>
        <w:trPr>
          <w:trHeight w:val="285" w:hRule="atLeast"/>
        </w:trPr>
        <w:tc>
          <w:tcPr>
            <w:tcW w:w="1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2018年春季</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178</w:t>
            </w:r>
          </w:p>
        </w:tc>
        <w:tc>
          <w:tcPr>
            <w:tcW w:w="16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17.8</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183</w:t>
            </w:r>
          </w:p>
        </w:tc>
        <w:tc>
          <w:tcPr>
            <w:tcW w:w="1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18.3</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36.1</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285" w:hRule="atLeast"/>
        </w:trPr>
        <w:tc>
          <w:tcPr>
            <w:tcW w:w="1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38"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2017级</w:t>
            </w:r>
          </w:p>
        </w:tc>
        <w:tc>
          <w:tcPr>
            <w:tcW w:w="1611"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金额（万元）</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2018级</w:t>
            </w:r>
          </w:p>
        </w:tc>
        <w:tc>
          <w:tcPr>
            <w:tcW w:w="1567"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金额（万元）</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合计（万元）</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备注</w:t>
            </w:r>
          </w:p>
        </w:tc>
      </w:tr>
      <w:tr>
        <w:tblPrEx>
          <w:tblCellMar>
            <w:top w:w="0" w:type="dxa"/>
            <w:left w:w="108" w:type="dxa"/>
            <w:bottom w:w="0" w:type="dxa"/>
            <w:right w:w="108" w:type="dxa"/>
          </w:tblCellMar>
        </w:tblPrEx>
        <w:trPr>
          <w:trHeight w:val="285" w:hRule="atLeast"/>
        </w:trPr>
        <w:tc>
          <w:tcPr>
            <w:tcW w:w="1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2018年秋季</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128</w:t>
            </w:r>
          </w:p>
        </w:tc>
        <w:tc>
          <w:tcPr>
            <w:tcW w:w="16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12.8</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390</w:t>
            </w:r>
          </w:p>
        </w:tc>
        <w:tc>
          <w:tcPr>
            <w:tcW w:w="1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39</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51.8</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r>
    </w:tbl>
    <w:p>
      <w:pPr>
        <w:rPr>
          <w:rFonts w:ascii="仿宋" w:hAnsi="仿宋" w:eastAsia="仿宋" w:cs="仿宋_GB2312"/>
          <w:sz w:val="32"/>
          <w:szCs w:val="32"/>
        </w:rPr>
      </w:pP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2.4就业质量</w:t>
      </w:r>
    </w:p>
    <w:p>
      <w:pPr>
        <w:ind w:firstLine="660" w:firstLineChars="200"/>
        <w:rPr>
          <w:rFonts w:ascii="仿宋" w:hAnsi="仿宋" w:eastAsia="仿宋"/>
          <w:sz w:val="33"/>
        </w:rPr>
      </w:pPr>
      <w:r>
        <w:rPr>
          <w:rFonts w:hint="eastAsia" w:ascii="仿宋" w:hAnsi="仿宋" w:eastAsia="仿宋"/>
          <w:sz w:val="33"/>
        </w:rPr>
        <w:t>2018年度由于毕业生少于往年，就业人数、升学人数也相应有所减少。但毕业生平均月薪提高，就业质量有所提升，毕业生对学校的满意度也有所提升。具体数据见下表（表5、表6、图9）：</w:t>
      </w:r>
    </w:p>
    <w:p>
      <w:pPr>
        <w:jc w:val="left"/>
        <w:rPr>
          <w:rFonts w:ascii="仿宋" w:hAnsi="仿宋" w:eastAsia="仿宋"/>
          <w:b/>
          <w:sz w:val="32"/>
          <w:szCs w:val="32"/>
        </w:rPr>
      </w:pPr>
      <w:r>
        <w:rPr>
          <w:rFonts w:hint="eastAsia" w:ascii="仿宋" w:hAnsi="仿宋" w:eastAsia="仿宋"/>
          <w:sz w:val="32"/>
          <w:szCs w:val="32"/>
        </w:rPr>
        <w:t>表5：</w:t>
      </w:r>
    </w:p>
    <w:p>
      <w:pPr>
        <w:jc w:val="center"/>
        <w:rPr>
          <w:rFonts w:ascii="仿宋" w:hAnsi="仿宋" w:eastAsia="仿宋"/>
          <w:b/>
          <w:sz w:val="44"/>
          <w:szCs w:val="44"/>
        </w:rPr>
      </w:pPr>
      <w:r>
        <w:rPr>
          <w:rFonts w:hint="eastAsia" w:ascii="仿宋" w:hAnsi="仿宋" w:eastAsia="仿宋"/>
          <w:b/>
          <w:sz w:val="44"/>
          <w:szCs w:val="44"/>
        </w:rPr>
        <w:t>毕业生就业情况表</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1555"/>
        <w:gridCol w:w="1559"/>
        <w:gridCol w:w="143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项  目</w:t>
            </w:r>
          </w:p>
        </w:tc>
        <w:tc>
          <w:tcPr>
            <w:tcW w:w="1555"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2017年</w:t>
            </w:r>
          </w:p>
        </w:tc>
        <w:tc>
          <w:tcPr>
            <w:tcW w:w="1559"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2018年</w:t>
            </w:r>
          </w:p>
        </w:tc>
        <w:tc>
          <w:tcPr>
            <w:tcW w:w="1434"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增长数</w:t>
            </w:r>
          </w:p>
        </w:tc>
        <w:tc>
          <w:tcPr>
            <w:tcW w:w="1415"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毕业生人数</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838</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789</w:t>
            </w:r>
          </w:p>
        </w:tc>
        <w:tc>
          <w:tcPr>
            <w:tcW w:w="1434"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-49</w:t>
            </w: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毕业率（巩固率）</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95%</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95%</w:t>
            </w:r>
          </w:p>
        </w:tc>
        <w:tc>
          <w:tcPr>
            <w:tcW w:w="1434" w:type="dxa"/>
            <w:vAlign w:val="center"/>
          </w:tcPr>
          <w:p>
            <w:pPr>
              <w:jc w:val="center"/>
              <w:rPr>
                <w:rFonts w:ascii="仿宋" w:hAnsi="仿宋" w:eastAsia="仿宋" w:cs="Times New Roman"/>
                <w:kern w:val="0"/>
                <w:sz w:val="25"/>
              </w:rPr>
            </w:pP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就业人数</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825</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775</w:t>
            </w:r>
          </w:p>
        </w:tc>
        <w:tc>
          <w:tcPr>
            <w:tcW w:w="1434"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-50</w:t>
            </w: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就业率</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98%</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98%</w:t>
            </w:r>
          </w:p>
        </w:tc>
        <w:tc>
          <w:tcPr>
            <w:tcW w:w="1434" w:type="dxa"/>
            <w:vAlign w:val="center"/>
          </w:tcPr>
          <w:p>
            <w:pPr>
              <w:jc w:val="center"/>
              <w:rPr>
                <w:rFonts w:ascii="仿宋" w:hAnsi="仿宋" w:eastAsia="仿宋" w:cs="Times New Roman"/>
                <w:kern w:val="0"/>
                <w:sz w:val="25"/>
              </w:rPr>
            </w:pP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升学人数</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94</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91</w:t>
            </w:r>
          </w:p>
        </w:tc>
        <w:tc>
          <w:tcPr>
            <w:tcW w:w="1434"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-3</w:t>
            </w: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直接就业率</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89%</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88%</w:t>
            </w:r>
          </w:p>
        </w:tc>
        <w:tc>
          <w:tcPr>
            <w:tcW w:w="1434" w:type="dxa"/>
            <w:vAlign w:val="center"/>
          </w:tcPr>
          <w:p>
            <w:pPr>
              <w:jc w:val="center"/>
              <w:rPr>
                <w:rFonts w:ascii="仿宋" w:hAnsi="仿宋" w:eastAsia="仿宋" w:cs="Times New Roman"/>
                <w:kern w:val="0"/>
                <w:sz w:val="25"/>
              </w:rPr>
            </w:pP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毕业生平均月收入</w:t>
            </w:r>
          </w:p>
        </w:tc>
        <w:tc>
          <w:tcPr>
            <w:tcW w:w="1555" w:type="dxa"/>
            <w:vAlign w:val="center"/>
          </w:tcPr>
          <w:p>
            <w:pPr>
              <w:ind w:firstLine="250" w:firstLineChars="100"/>
              <w:rPr>
                <w:rFonts w:ascii="仿宋" w:hAnsi="仿宋" w:eastAsia="仿宋" w:cs="Times New Roman"/>
                <w:kern w:val="0"/>
                <w:sz w:val="25"/>
              </w:rPr>
            </w:pPr>
            <w:r>
              <w:rPr>
                <w:rFonts w:hint="eastAsia" w:ascii="仿宋" w:hAnsi="仿宋" w:eastAsia="仿宋" w:cs="Times New Roman"/>
                <w:kern w:val="0"/>
                <w:sz w:val="25"/>
              </w:rPr>
              <w:t>2200</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2600</w:t>
            </w:r>
          </w:p>
        </w:tc>
        <w:tc>
          <w:tcPr>
            <w:tcW w:w="1434"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400</w:t>
            </w: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毕业生初次就业起薪</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1800</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2200</w:t>
            </w:r>
          </w:p>
        </w:tc>
        <w:tc>
          <w:tcPr>
            <w:tcW w:w="1434"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400</w:t>
            </w: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用人单位满意度（抽样）</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91%</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93%</w:t>
            </w:r>
          </w:p>
        </w:tc>
        <w:tc>
          <w:tcPr>
            <w:tcW w:w="1434" w:type="dxa"/>
            <w:vAlign w:val="center"/>
          </w:tcPr>
          <w:p>
            <w:pPr>
              <w:jc w:val="center"/>
              <w:rPr>
                <w:rFonts w:ascii="仿宋" w:hAnsi="仿宋" w:eastAsia="仿宋" w:cs="Times New Roman"/>
                <w:kern w:val="0"/>
                <w:sz w:val="25"/>
              </w:rPr>
            </w:pP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创业率</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10</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12</w:t>
            </w:r>
          </w:p>
        </w:tc>
        <w:tc>
          <w:tcPr>
            <w:tcW w:w="1434"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2</w:t>
            </w: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516" w:type="dxa"/>
            <w:vAlign w:val="center"/>
          </w:tcPr>
          <w:p>
            <w:pPr>
              <w:jc w:val="center"/>
              <w:rPr>
                <w:rFonts w:ascii="仿宋" w:hAnsi="仿宋" w:eastAsia="仿宋" w:cs="Times New Roman"/>
                <w:b/>
                <w:kern w:val="0"/>
                <w:sz w:val="25"/>
              </w:rPr>
            </w:pPr>
            <w:r>
              <w:rPr>
                <w:rFonts w:hint="eastAsia" w:ascii="仿宋" w:hAnsi="仿宋" w:eastAsia="仿宋" w:cs="Times New Roman"/>
                <w:b/>
                <w:kern w:val="0"/>
                <w:sz w:val="25"/>
              </w:rPr>
              <w:t>毕业生就业满意度（抽样）</w:t>
            </w:r>
          </w:p>
        </w:tc>
        <w:tc>
          <w:tcPr>
            <w:tcW w:w="155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86%</w:t>
            </w:r>
          </w:p>
        </w:tc>
        <w:tc>
          <w:tcPr>
            <w:tcW w:w="1559"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95%</w:t>
            </w:r>
          </w:p>
        </w:tc>
        <w:tc>
          <w:tcPr>
            <w:tcW w:w="1434" w:type="dxa"/>
            <w:vAlign w:val="center"/>
          </w:tcPr>
          <w:p>
            <w:pPr>
              <w:jc w:val="center"/>
              <w:rPr>
                <w:rFonts w:ascii="仿宋" w:hAnsi="仿宋" w:eastAsia="仿宋" w:cs="Times New Roman"/>
                <w:kern w:val="0"/>
                <w:sz w:val="25"/>
              </w:rPr>
            </w:pPr>
          </w:p>
        </w:tc>
        <w:tc>
          <w:tcPr>
            <w:tcW w:w="1415" w:type="dxa"/>
            <w:vAlign w:val="center"/>
          </w:tcPr>
          <w:p>
            <w:pPr>
              <w:jc w:val="center"/>
              <w:rPr>
                <w:rFonts w:ascii="仿宋" w:hAnsi="仿宋" w:eastAsia="仿宋" w:cs="Times New Roman"/>
                <w:kern w:val="0"/>
                <w:sz w:val="25"/>
              </w:rPr>
            </w:pPr>
            <w:r>
              <w:rPr>
                <w:rFonts w:hint="eastAsia" w:ascii="仿宋" w:hAnsi="仿宋" w:eastAsia="仿宋" w:cs="Times New Roman"/>
                <w:kern w:val="0"/>
                <w:sz w:val="25"/>
              </w:rPr>
              <w:t>9%</w:t>
            </w:r>
          </w:p>
        </w:tc>
      </w:tr>
    </w:tbl>
    <w:p>
      <w:pPr>
        <w:rPr>
          <w:rFonts w:hint="eastAsia" w:ascii="仿宋" w:hAnsi="仿宋" w:eastAsia="仿宋"/>
          <w:sz w:val="32"/>
          <w:szCs w:val="32"/>
        </w:rPr>
      </w:pPr>
      <w:r>
        <w:rPr>
          <w:rFonts w:hint="eastAsia" w:ascii="仿宋" w:hAnsi="仿宋" w:eastAsia="仿宋"/>
          <w:sz w:val="32"/>
          <w:szCs w:val="32"/>
        </w:rPr>
        <w:t>表6：</w:t>
      </w:r>
    </w:p>
    <w:p>
      <w:pPr>
        <w:rPr>
          <w:rFonts w:hint="eastAsia" w:ascii="仿宋" w:hAnsi="仿宋" w:eastAsia="仿宋"/>
          <w:b/>
          <w:sz w:val="37"/>
        </w:rPr>
      </w:pPr>
      <w:r>
        <w:rPr>
          <w:rFonts w:hint="eastAsia" w:ascii="仿宋" w:hAnsi="仿宋" w:eastAsia="仿宋"/>
          <w:b/>
          <w:sz w:val="37"/>
        </w:rPr>
        <w:t>2018年度毕业生分专业类别就业率、对口率统计表</w:t>
      </w:r>
    </w:p>
    <w:tbl>
      <w:tblPr>
        <w:tblStyle w:val="8"/>
        <w:tblW w:w="880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515"/>
        <w:gridCol w:w="1394"/>
        <w:gridCol w:w="1275"/>
        <w:gridCol w:w="126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专业名称</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毕业生总人</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就业人数</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就业率</w:t>
            </w:r>
          </w:p>
        </w:tc>
        <w:tc>
          <w:tcPr>
            <w:tcW w:w="1268" w:type="dxa"/>
            <w:tcBorders>
              <w:top w:val="single" w:color="auto" w:sz="4" w:space="0"/>
              <w:left w:val="nil"/>
              <w:bottom w:val="single" w:color="auto" w:sz="4" w:space="0"/>
              <w:right w:val="single" w:color="auto" w:sz="4" w:space="0"/>
            </w:tcBorders>
            <w:vAlign w:val="center"/>
          </w:tcPr>
          <w:p>
            <w:pPr>
              <w:ind w:firstLine="240" w:firstLineChars="1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对口</w:t>
            </w:r>
          </w:p>
          <w:p>
            <w:pPr>
              <w:ind w:firstLine="240" w:firstLineChars="100"/>
              <w:rPr>
                <w:rFonts w:ascii="Calibri" w:hAnsi="Calibri" w:eastAsia="宋体" w:cs="Times New Roman"/>
                <w:kern w:val="0"/>
                <w:sz w:val="24"/>
              </w:rPr>
            </w:pPr>
            <w:r>
              <w:rPr>
                <w:rFonts w:hint="eastAsia" w:ascii="Times New Roman" w:hAnsi="Times New Roman" w:eastAsia="宋体" w:cs="Times New Roman"/>
                <w:kern w:val="0"/>
                <w:sz w:val="24"/>
              </w:rPr>
              <w:t>就业人数</w:t>
            </w:r>
          </w:p>
        </w:tc>
        <w:tc>
          <w:tcPr>
            <w:tcW w:w="1485" w:type="dxa"/>
            <w:tcBorders>
              <w:top w:val="single" w:color="auto" w:sz="4" w:space="0"/>
              <w:left w:val="nil"/>
              <w:bottom w:val="single" w:color="auto" w:sz="4" w:space="0"/>
              <w:right w:val="single" w:color="auto" w:sz="4" w:space="0"/>
            </w:tcBorders>
            <w:vAlign w:val="center"/>
          </w:tcPr>
          <w:p>
            <w:pPr>
              <w:ind w:firstLine="360" w:firstLineChars="150"/>
              <w:rPr>
                <w:rFonts w:ascii="Calibri" w:hAnsi="Calibri" w:eastAsia="宋体" w:cs="Times New Roman"/>
                <w:kern w:val="0"/>
                <w:sz w:val="24"/>
              </w:rPr>
            </w:pPr>
            <w:r>
              <w:rPr>
                <w:rFonts w:hint="eastAsia" w:ascii="Times New Roman" w:hAnsi="Times New Roman" w:eastAsia="宋体" w:cs="Times New Roman"/>
                <w:kern w:val="0"/>
                <w:sz w:val="24"/>
              </w:rPr>
              <w:t>对口</w:t>
            </w:r>
          </w:p>
          <w:p>
            <w:pPr>
              <w:jc w:val="center"/>
              <w:rPr>
                <w:rFonts w:ascii="Calibri" w:hAnsi="Calibri" w:eastAsia="宋体" w:cs="Times New Roman"/>
                <w:kern w:val="0"/>
                <w:sz w:val="24"/>
              </w:rPr>
            </w:pPr>
            <w:r>
              <w:rPr>
                <w:rFonts w:hint="eastAsia" w:ascii="Times New Roman" w:hAnsi="Times New Roman" w:eastAsia="宋体" w:cs="Times New Roman"/>
                <w:kern w:val="0"/>
                <w:sz w:val="24"/>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能源与新能源类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30</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30</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30</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土木水利类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23</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21</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91%</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21</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加工制造类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18</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17</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94%</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16</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交通运输类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554</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546</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99%</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469</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信息技术类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101</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98</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97%</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91</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财贸商贸类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51</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51</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51</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kern w:val="0"/>
                <w:sz w:val="24"/>
              </w:rPr>
            </w:pPr>
            <w:r>
              <w:rPr>
                <w:rFonts w:hint="eastAsia" w:ascii="Times New Roman" w:hAnsi="Times New Roman" w:eastAsia="宋体" w:cs="Times New Roman"/>
                <w:kern w:val="0"/>
                <w:sz w:val="24"/>
              </w:rPr>
              <w:t>文化艺术类</w:t>
            </w:r>
          </w:p>
        </w:tc>
        <w:tc>
          <w:tcPr>
            <w:tcW w:w="151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12</w:t>
            </w:r>
          </w:p>
        </w:tc>
        <w:tc>
          <w:tcPr>
            <w:tcW w:w="1394"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12</w:t>
            </w:r>
          </w:p>
        </w:tc>
        <w:tc>
          <w:tcPr>
            <w:tcW w:w="127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c>
          <w:tcPr>
            <w:tcW w:w="1268"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12</w:t>
            </w:r>
          </w:p>
        </w:tc>
        <w:tc>
          <w:tcPr>
            <w:tcW w:w="14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kern w:val="0"/>
                <w:sz w:val="25"/>
                <w:szCs w:val="25"/>
              </w:rPr>
            </w:pPr>
            <w:r>
              <w:rPr>
                <w:rFonts w:hint="eastAsia" w:ascii="Times New Roman" w:hAnsi="Times New Roman" w:eastAsia="宋体" w:cs="Times New Roman"/>
                <w:kern w:val="0"/>
                <w:sz w:val="25"/>
                <w:szCs w:val="25"/>
              </w:rPr>
              <w:t>100%</w:t>
            </w:r>
          </w:p>
        </w:tc>
      </w:tr>
    </w:tbl>
    <w:p>
      <w:pPr>
        <w:rPr>
          <w:rFonts w:hint="eastAsia" w:ascii="仿宋" w:hAnsi="仿宋" w:eastAsia="仿宋"/>
          <w:sz w:val="32"/>
          <w:szCs w:val="32"/>
        </w:rPr>
      </w:pPr>
      <w:r>
        <w:rPr>
          <w:rFonts w:hint="eastAsia" w:ascii="仿宋" w:hAnsi="仿宋" w:eastAsia="仿宋"/>
          <w:sz w:val="32"/>
          <w:szCs w:val="32"/>
        </w:rPr>
        <w:t>图9：</w:t>
      </w:r>
    </w:p>
    <w:p>
      <w:pPr>
        <w:ind w:firstLine="1114" w:firstLineChars="300"/>
        <w:rPr>
          <w:rFonts w:ascii="仿宋" w:hAnsi="仿宋" w:eastAsia="仿宋"/>
          <w:b/>
          <w:sz w:val="37"/>
        </w:rPr>
      </w:pPr>
      <w:r>
        <w:rPr>
          <w:rFonts w:hint="eastAsia" w:ascii="仿宋" w:hAnsi="仿宋" w:eastAsia="仿宋"/>
          <w:b/>
          <w:sz w:val="37"/>
        </w:rPr>
        <w:t>2018年各专业毕业生及对口就业人数</w:t>
      </w:r>
    </w:p>
    <w:p>
      <w:pPr>
        <w:rPr>
          <w:rFonts w:ascii="仿宋" w:hAnsi="仿宋" w:eastAsia="仿宋"/>
          <w:sz w:val="31"/>
        </w:rPr>
      </w:pPr>
      <w:r>
        <w:rPr>
          <w:rFonts w:ascii="仿宋" w:hAnsi="仿宋" w:eastAsia="仿宋"/>
        </w:rPr>
        <w:drawing>
          <wp:inline distT="0" distB="0" distL="0" distR="0">
            <wp:extent cx="5381625" cy="3686810"/>
            <wp:effectExtent l="4445" t="4445" r="5080" b="23495"/>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2.5职业发展</w:t>
      </w:r>
    </w:p>
    <w:p>
      <w:pPr>
        <w:widowControl/>
        <w:shd w:val="clear" w:color="auto" w:fill="FFFFFF"/>
        <w:ind w:right="-483" w:rightChars="-230" w:firstLine="640" w:firstLineChars="200"/>
        <w:jc w:val="left"/>
        <w:rPr>
          <w:rFonts w:ascii="仿宋" w:hAnsi="仿宋" w:eastAsia="仿宋" w:cs="仿宋_GB2312"/>
          <w:sz w:val="32"/>
          <w:szCs w:val="32"/>
        </w:rPr>
      </w:pPr>
      <w:r>
        <w:rPr>
          <w:rFonts w:hint="eastAsia" w:ascii="仿宋" w:hAnsi="仿宋" w:eastAsia="仿宋" w:cs="仿宋_GB2312"/>
          <w:sz w:val="32"/>
          <w:szCs w:val="32"/>
        </w:rPr>
        <w:t>创新、创业教育是一种“就业型”教育，也是一种“发展型”教育，既体现</w:t>
      </w:r>
      <w:r>
        <w:fldChar w:fldCharType="begin"/>
      </w:r>
      <w:r>
        <w:instrText xml:space="preserve"> HYPERLINK "http://cpro.baidu.com/cpro/ui/uijs.php?adclass=0&amp;app_id=0&amp;c=news&amp;cf=1001&amp;ch=0&amp;di=128&amp;fv=19&amp;is_app=0&amp;jk=ef545a0edc5d9931&amp;k=%D6%B0%D2%B5%BD%CC%D3%FD&amp;k0=%D6%B0%D2%B5%BD%CC%D3%FD&amp;kdi0=0&amp;luki=5&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职业教育</w:t>
      </w:r>
      <w:r>
        <w:rPr>
          <w:rFonts w:hint="eastAsia" w:ascii="仿宋" w:hAnsi="仿宋" w:eastAsia="仿宋" w:cs="仿宋_GB2312"/>
          <w:sz w:val="32"/>
          <w:szCs w:val="32"/>
        </w:rPr>
        <w:fldChar w:fldCharType="end"/>
      </w:r>
      <w:r>
        <w:rPr>
          <w:rFonts w:hint="eastAsia" w:ascii="仿宋" w:hAnsi="仿宋" w:eastAsia="仿宋" w:cs="仿宋_GB2312"/>
          <w:sz w:val="32"/>
          <w:szCs w:val="32"/>
        </w:rPr>
        <w:t>的内涵，又突出教育创新和对学生实际能力的培养，既是中职学生职业生涯设计、实现自身价值和满足现代职业教育发展的客观要求，也是中等职业学校教育教学改革的必然选择。一个人要想在竞争激烈的社会里立于不败之地，除了要有深厚的科学文化知识之外，还要具备</w:t>
      </w:r>
      <w:r>
        <w:fldChar w:fldCharType="begin"/>
      </w:r>
      <w:r>
        <w:instrText xml:space="preserve"> HYPERLINK "http://cpro.baidu.com/cpro/ui/uijs.php?adclass=0&amp;app_id=0&amp;c=news&amp;cf=1001&amp;ch=0&amp;di=128&amp;fv=19&amp;is_app=0&amp;jk=ef545a0edc5d9931&amp;k=%B4%B4%D2%B5%BE%AB%C9%F1&amp;k0=%B4%B4%D2%B5%BE%AB%C9%F1&amp;kdi0=0&amp;luki=7&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创业精神</w:t>
      </w:r>
      <w:r>
        <w:rPr>
          <w:rFonts w:hint="eastAsia" w:ascii="仿宋" w:hAnsi="仿宋" w:eastAsia="仿宋" w:cs="仿宋_GB2312"/>
          <w:sz w:val="32"/>
          <w:szCs w:val="32"/>
        </w:rPr>
        <w:fldChar w:fldCharType="end"/>
      </w:r>
      <w:r>
        <w:rPr>
          <w:rFonts w:hint="eastAsia" w:ascii="仿宋" w:hAnsi="仿宋" w:eastAsia="仿宋" w:cs="仿宋_GB2312"/>
          <w:sz w:val="32"/>
          <w:szCs w:val="32"/>
        </w:rPr>
        <w:t>。因此，职业教育不仅仅是学生的就业培训，更应加强在创造、创新、创业能力方面的教育，培养学生</w:t>
      </w:r>
      <w:r>
        <w:fldChar w:fldCharType="begin"/>
      </w:r>
      <w:r>
        <w:instrText xml:space="preserve"> HYPERLINK "http://cpro.baidu.com/cpro/ui/uijs.php?adclass=0&amp;app_id=0&amp;c=news&amp;cf=1001&amp;ch=0&amp;di=128&amp;fv=19&amp;is_app=0&amp;jk=ef545a0edc5d9931&amp;k=%D7%D4%D6%F7%B4%B4%D2%B5&amp;k0=%D7%D4%D6%F7%B4%B4%D2%B5&amp;kdi0=0&amp;luki=8&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自主创业</w:t>
      </w:r>
      <w:r>
        <w:rPr>
          <w:rFonts w:hint="eastAsia" w:ascii="仿宋" w:hAnsi="仿宋" w:eastAsia="仿宋" w:cs="仿宋_GB2312"/>
          <w:sz w:val="32"/>
          <w:szCs w:val="32"/>
        </w:rPr>
        <w:fldChar w:fldCharType="end"/>
      </w:r>
      <w:r>
        <w:rPr>
          <w:rFonts w:hint="eastAsia" w:ascii="仿宋" w:hAnsi="仿宋" w:eastAsia="仿宋" w:cs="仿宋_GB2312"/>
          <w:sz w:val="32"/>
          <w:szCs w:val="32"/>
        </w:rPr>
        <w:t>的意识，开发和提高学生的创业能力，培养创业精神，为各行各业输送更多的创业型人才。</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近年来，我校以“重技能、厚基础、宽专业、多领域”为原则设置和调整课程。其做法有三条。一是深入研究课程之间的内在联系，如文化课与专业课之间的联系，理论课与实训课之间的结合等，根据专业和学生特点，对课程进行适当的增减，对教材中有关培养创造力的课程内容重点讲授并进行实训演练，以提高教学效果。二是开设创业和就业指导课程。三是邀请成功人士来校介绍创业、就业经验，使学生在就业观念上有新的转变。</w:t>
      </w:r>
    </w:p>
    <w:p>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培养学生的创业意识，创业意识是创业的基础和前提。创业教育重在培养学生的创业意识，提高学生的整体素质。要转变学生的</w:t>
      </w:r>
      <w:r>
        <w:fldChar w:fldCharType="begin"/>
      </w:r>
      <w:r>
        <w:instrText xml:space="preserve"> HYPERLINK "http://cpro.baidu.com/cpro/ui/uijs.php?adclass=0&amp;app_id=0&amp;c=news&amp;cf=1001&amp;ch=0&amp;di=128&amp;fv=19&amp;is_app=0&amp;jk=ef545a0edc5d9931&amp;k=%BE%CD%D2%B5&amp;k0=%BE%CD%D2%B5&amp;kdi0=0&amp;luki=4&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就业</w:t>
      </w:r>
      <w:r>
        <w:rPr>
          <w:rFonts w:hint="eastAsia" w:ascii="仿宋" w:hAnsi="仿宋" w:eastAsia="仿宋" w:cs="仿宋_GB2312"/>
          <w:sz w:val="32"/>
          <w:szCs w:val="32"/>
        </w:rPr>
        <w:fldChar w:fldCharType="end"/>
      </w:r>
      <w:r>
        <w:rPr>
          <w:rFonts w:hint="eastAsia" w:ascii="仿宋" w:hAnsi="仿宋" w:eastAsia="仿宋" w:cs="仿宋_GB2312"/>
          <w:sz w:val="32"/>
          <w:szCs w:val="32"/>
        </w:rPr>
        <w:t>观念，就要做到“三破三立”，即破除等、靠、看的被动就业观念，立敢想、敢干、敢试、敢闯的自主创业新观念；破除安于现状、得过且过、不思进取的旧观念，立有所作为、开拓进取、创业光荣的新观念；破除高学历者才能创业的旧观念，立</w:t>
      </w:r>
      <w:r>
        <w:fldChar w:fldCharType="begin"/>
      </w:r>
      <w:r>
        <w:instrText xml:space="preserve"> HYPERLINK "http://cpro.baidu.com/cpro/ui/uijs.php?adclass=0&amp;app_id=0&amp;c=news&amp;cf=1001&amp;ch=0&amp;di=128&amp;fv=19&amp;is_app=0&amp;jk=ef545a0edc5d9931&amp;k=%D6%D0%D6%B0&amp;k0=%D6%D0%D6%B0&amp;kdi0=0&amp;luki=9&amp;mcpm=0&amp;n=10&amp;p=baidu&amp;q=haoshuduoduo_cpr&amp;rb=0&amp;rs=1&amp;seller_id=1&amp;sid=31995ddce5a54ef&amp;ssp2=1&amp;stid=9&amp;t=tpclicked3_hc&amp;td=1959052&amp;tu=u1959052&amp;u=http%3A%2F%2Fwww%2Eniubb%2Enet%2Farticle%2F581296%2D1%2F1%2F&amp;urlid=0" \t "_blank" </w:instrText>
      </w:r>
      <w:r>
        <w:fldChar w:fldCharType="separate"/>
      </w:r>
      <w:r>
        <w:rPr>
          <w:rFonts w:hint="eastAsia" w:ascii="仿宋" w:hAnsi="仿宋" w:eastAsia="仿宋" w:cs="仿宋_GB2312"/>
          <w:sz w:val="32"/>
          <w:szCs w:val="32"/>
        </w:rPr>
        <w:t>中职</w:t>
      </w:r>
      <w:r>
        <w:rPr>
          <w:rFonts w:hint="eastAsia" w:ascii="仿宋" w:hAnsi="仿宋" w:eastAsia="仿宋" w:cs="仿宋_GB2312"/>
          <w:sz w:val="32"/>
          <w:szCs w:val="32"/>
        </w:rPr>
        <w:fldChar w:fldCharType="end"/>
      </w:r>
      <w:r>
        <w:rPr>
          <w:rFonts w:hint="eastAsia" w:ascii="仿宋" w:hAnsi="仿宋" w:eastAsia="仿宋" w:cs="仿宋_GB2312"/>
          <w:sz w:val="32"/>
          <w:szCs w:val="32"/>
        </w:rPr>
        <w:t>学生人人有能力创业的新观念。使中职学生牢固树立自主创业同样可以实现自身价值，创造辉煌人生的思想观念。</w:t>
      </w:r>
    </w:p>
    <w:p>
      <w:pPr>
        <w:spacing w:line="600" w:lineRule="exact"/>
        <w:rPr>
          <w:rFonts w:hint="eastAsia" w:ascii="仿宋" w:hAnsi="仿宋" w:eastAsia="仿宋" w:cs="仿宋_GB2312"/>
          <w:b/>
          <w:sz w:val="36"/>
          <w:szCs w:val="36"/>
        </w:rPr>
      </w:pPr>
      <w:r>
        <w:rPr>
          <w:rFonts w:hint="eastAsia" w:ascii="仿宋" w:hAnsi="仿宋" w:eastAsia="仿宋" w:cs="仿宋_GB2312"/>
          <w:b/>
          <w:sz w:val="36"/>
          <w:szCs w:val="36"/>
        </w:rPr>
        <w:t>三、质量保障措施</w:t>
      </w:r>
    </w:p>
    <w:p>
      <w:pPr>
        <w:spacing w:line="60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3.1专业动态调整</w:t>
      </w:r>
    </w:p>
    <w:p>
      <w:pPr>
        <w:pStyle w:val="6"/>
        <w:spacing w:before="0" w:beforeAutospacing="0" w:after="0" w:afterAutospacing="0"/>
        <w:ind w:firstLine="640" w:firstLineChars="200"/>
        <w:rPr>
          <w:rFonts w:hint="eastAsia" w:ascii="仿宋" w:hAnsi="仿宋" w:eastAsia="仿宋" w:cstheme="minorBidi"/>
          <w:color w:val="000000" w:themeColor="text1"/>
          <w:kern w:val="2"/>
          <w:sz w:val="32"/>
          <w:szCs w:val="32"/>
        </w:rPr>
      </w:pPr>
      <w:r>
        <w:rPr>
          <w:rFonts w:hint="eastAsia" w:ascii="仿宋" w:hAnsi="仿宋" w:eastAsia="仿宋" w:cs="仿宋_GB2312"/>
          <w:bCs/>
          <w:sz w:val="32"/>
          <w:szCs w:val="32"/>
        </w:rPr>
        <w:t>我校共开设</w:t>
      </w:r>
      <w:r>
        <w:rPr>
          <w:rFonts w:hint="eastAsia" w:ascii="仿宋" w:hAnsi="仿宋" w:eastAsia="仿宋" w:cstheme="minorBidi"/>
          <w:color w:val="000000" w:themeColor="text1"/>
          <w:kern w:val="2"/>
          <w:sz w:val="32"/>
          <w:szCs w:val="32"/>
        </w:rPr>
        <w:t>电子技术应用、汽车运用与维修、会计电算化、铁路运输管理、石油天然气开采、航空服务、工程造价、计算机应用、电子商务等13个专业。在校学生专业统计如图10。</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图10：</w:t>
      </w:r>
    </w:p>
    <w:p>
      <w:pPr>
        <w:spacing w:line="600" w:lineRule="exact"/>
        <w:ind w:firstLine="640" w:firstLineChars="200"/>
        <w:rPr>
          <w:rFonts w:ascii="仿宋" w:hAnsi="仿宋" w:eastAsia="仿宋" w:cs="仿宋_GB2312"/>
          <w:bCs/>
          <w:sz w:val="32"/>
          <w:szCs w:val="32"/>
        </w:rPr>
      </w:pPr>
    </w:p>
    <w:p>
      <w:pPr>
        <w:rPr>
          <w:rFonts w:hint="eastAsia"/>
        </w:rPr>
      </w:pPr>
      <w:r>
        <w:rPr>
          <w:rFonts w:ascii="仿宋" w:hAnsi="仿宋" w:eastAsia="仿宋"/>
          <w:sz w:val="32"/>
          <w:szCs w:val="32"/>
        </w:rPr>
        <w:drawing>
          <wp:inline distT="0" distB="0" distL="0" distR="0">
            <wp:extent cx="5274310" cy="3053080"/>
            <wp:effectExtent l="19050" t="0" r="21590" b="0"/>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hint="eastAsia"/>
        </w:rPr>
      </w:pP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学校每两年开展一次专业调研，调研对象涵盖了企业、家长、学生。通过调研优化专业结构，建立专业设置动态调整机制，做到了专业设置与区域社会经济发展需求</w:t>
      </w:r>
      <w:r>
        <w:rPr>
          <w:rFonts w:ascii="仿宋" w:hAnsi="仿宋" w:eastAsia="仿宋"/>
          <w:color w:val="000000" w:themeColor="text1"/>
          <w:sz w:val="32"/>
          <w:szCs w:val="32"/>
        </w:rPr>
        <w:t>契合</w:t>
      </w:r>
      <w:r>
        <w:rPr>
          <w:rFonts w:hint="eastAsia" w:ascii="仿宋" w:hAnsi="仿宋" w:eastAsia="仿宋"/>
          <w:color w:val="000000" w:themeColor="text1"/>
          <w:sz w:val="32"/>
          <w:szCs w:val="32"/>
        </w:rPr>
        <w:t>，课程内容与岗位知识</w:t>
      </w:r>
      <w:r>
        <w:rPr>
          <w:rFonts w:ascii="仿宋" w:hAnsi="仿宋" w:eastAsia="仿宋"/>
          <w:color w:val="000000" w:themeColor="text1"/>
          <w:sz w:val="32"/>
          <w:szCs w:val="32"/>
        </w:rPr>
        <w:t>契合</w:t>
      </w:r>
      <w:r>
        <w:rPr>
          <w:rFonts w:hint="eastAsia" w:ascii="仿宋" w:hAnsi="仿宋" w:eastAsia="仿宋"/>
          <w:color w:val="000000" w:themeColor="text1"/>
          <w:sz w:val="32"/>
          <w:szCs w:val="32"/>
        </w:rPr>
        <w:t>，提高了专业与当地产业的吻合度及贡献率。</w:t>
      </w:r>
    </w:p>
    <w:p>
      <w:pPr>
        <w:ind w:firstLine="640" w:firstLineChars="200"/>
        <w:rPr>
          <w:rFonts w:hint="eastAsia" w:ascii="仿宋" w:hAnsi="仿宋" w:eastAsia="仿宋" w:cs="仿宋_GB2312"/>
          <w:color w:val="000000"/>
          <w:sz w:val="32"/>
          <w:szCs w:val="32"/>
        </w:rPr>
      </w:pPr>
      <w:r>
        <w:rPr>
          <w:rFonts w:hint="eastAsia" w:ascii="仿宋" w:hAnsi="仿宋" w:eastAsia="仿宋"/>
          <w:sz w:val="32"/>
          <w:szCs w:val="32"/>
        </w:rPr>
        <w:t>按照教育</w:t>
      </w:r>
      <w:r>
        <w:rPr>
          <w:rFonts w:hint="eastAsia" w:ascii="仿宋" w:hAnsi="仿宋" w:eastAsia="仿宋" w:cs="仿宋_GB2312"/>
          <w:color w:val="000000"/>
          <w:sz w:val="32"/>
          <w:szCs w:val="32"/>
        </w:rPr>
        <w:t>与产业、学校与企业、专业设置与职业岗位相对接的原则进行专业动态调整，主动适应区域产业结构优化升级要求，重点建设面向本地重点产业、优势产业和战略性新兴产业的汽车保养与维护、</w:t>
      </w:r>
      <w:r>
        <w:rPr>
          <w:rFonts w:hint="eastAsia" w:ascii="仿宋" w:hAnsi="仿宋" w:eastAsia="仿宋" w:cs="仿宋_GB2312"/>
          <w:color w:val="000000"/>
          <w:sz w:val="32"/>
          <w:szCs w:val="32"/>
          <w:lang w:eastAsia="zh-CN"/>
        </w:rPr>
        <w:t>电子</w:t>
      </w:r>
      <w:r>
        <w:rPr>
          <w:rFonts w:hint="eastAsia" w:ascii="仿宋" w:hAnsi="仿宋" w:eastAsia="仿宋" w:cs="仿宋_GB2312"/>
          <w:color w:val="000000"/>
          <w:sz w:val="32"/>
          <w:szCs w:val="32"/>
        </w:rPr>
        <w:t>技术应用、汽车运用与维修、会计</w:t>
      </w:r>
      <w:r>
        <w:rPr>
          <w:rFonts w:hint="eastAsia" w:ascii="仿宋" w:hAnsi="仿宋" w:eastAsia="仿宋" w:cs="仿宋_GB2312"/>
          <w:color w:val="000000"/>
          <w:sz w:val="32"/>
          <w:szCs w:val="32"/>
          <w:lang w:eastAsia="zh-CN"/>
        </w:rPr>
        <w:t>电算化</w:t>
      </w:r>
      <w:r>
        <w:rPr>
          <w:rFonts w:hint="eastAsia" w:ascii="仿宋" w:hAnsi="仿宋" w:eastAsia="仿宋" w:cs="仿宋_GB2312"/>
          <w:color w:val="000000"/>
          <w:sz w:val="32"/>
          <w:szCs w:val="32"/>
        </w:rPr>
        <w:t>等品牌专业。学校与成都信息工程大学、四川广播电视大学、西华师范大学、成都工业学院建立了汽车运用与维修、电子应用技术等与我校中专专业相关的大专衔接工作。学校制定了校本教材开发、应用和更新制度，能根据产业、职业和岗位需求，积极开发校本教材，努力将三创教育和技能大赛的成果融入校本教材，先后开发校本教材3本。</w:t>
      </w:r>
    </w:p>
    <w:p>
      <w:pPr>
        <w:ind w:firstLine="643" w:firstLineChars="200"/>
        <w:rPr>
          <w:rFonts w:hint="eastAsia" w:ascii="仿宋" w:hAnsi="仿宋" w:eastAsia="仿宋"/>
          <w:b/>
          <w:sz w:val="32"/>
          <w:szCs w:val="32"/>
        </w:rPr>
      </w:pPr>
      <w:r>
        <w:rPr>
          <w:rFonts w:hint="eastAsia" w:ascii="仿宋" w:hAnsi="仿宋" w:eastAsia="仿宋"/>
          <w:b/>
          <w:sz w:val="32"/>
          <w:szCs w:val="32"/>
        </w:rPr>
        <w:t>3.2教育教学改革</w:t>
      </w:r>
    </w:p>
    <w:p>
      <w:pPr>
        <w:ind w:firstLine="640" w:firstLineChars="200"/>
        <w:rPr>
          <w:rFonts w:hint="eastAsia" w:ascii="仿宋" w:hAnsi="仿宋" w:eastAsia="仿宋" w:cs="仿宋_GB2312"/>
          <w:color w:val="000000"/>
          <w:sz w:val="32"/>
          <w:szCs w:val="32"/>
        </w:rPr>
      </w:pPr>
      <w:r>
        <w:rPr>
          <w:rFonts w:hint="eastAsia" w:ascii="仿宋" w:hAnsi="仿宋" w:eastAsia="仿宋"/>
          <w:sz w:val="32"/>
          <w:szCs w:val="32"/>
        </w:rPr>
        <w:t>学校制定了</w:t>
      </w:r>
      <w:r>
        <w:rPr>
          <w:rFonts w:hint="eastAsia" w:ascii="仿宋" w:hAnsi="仿宋" w:eastAsia="仿宋" w:cs="仿宋_GB2312"/>
          <w:color w:val="000000"/>
          <w:sz w:val="32"/>
          <w:szCs w:val="32"/>
        </w:rPr>
        <w:t>实施性人才培养方案并进行滚动修订，根据国家和省指导性人才培养方案以及调研成果，构建以能力为本位、以职业实践为主线、以项目课程为主体的模块化专业课程体系；合理确定公共基础课和专业技能课学时比例，根据行业产业发展适时修订，并有严格的审批手续，选用规定教材。大力加强专业建设，不断提升专业建设水平，主干专业实现了教学、实训一体化，学生职业道德、职业精神培养与技术技能高度融合。</w:t>
      </w:r>
    </w:p>
    <w:p>
      <w:pPr>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积极创新专业课教学模式形成了以项目教学、案例教学等为主体的七种教学模式。广大教师普遍采用项目教学、案例教学、场景教学和模拟教学等多种教学方式进行教学，注意专业教学过程与生产过程的对接，注重教学过程实践性、开放性和职业性。根据专业特点，积极开展现代学徒制试点，进行小班化教学试点；探索和实施小组学习、合作学习和自主学习；因材施教，推行分层教学、走班制、导师制等教学改革，建立了困难学生学习困难帮助机制等。</w:t>
      </w:r>
    </w:p>
    <w:p>
      <w:pPr>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学校为汽修、会计、电子商务等专业购买了虚拟仿真实务训练系统。有效地降低了实训成本，提高了实训效果。教师根据教学要求自主开发了一部分教学资源，分为公共基础课和专业技能课，内容包括PPT教案、实训项目库、教学案例、考试试题题库。</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教学质量保证制度》、《教学督导组加强教学质量监控与评价制定》、《教师教学质量考核与聘任办法》《学生评教制度》等一系列质量保证措施与制度的完善，为教学质量提供了有力的保障，通过建立校企合作长效机制，引进高素质高技能</w:t>
      </w:r>
      <w:r>
        <w:rPr>
          <w:rFonts w:ascii="仿宋" w:hAnsi="仿宋" w:eastAsia="仿宋"/>
          <w:color w:val="000000" w:themeColor="text1"/>
          <w:sz w:val="32"/>
          <w:szCs w:val="32"/>
        </w:rPr>
        <w:t>人才</w:t>
      </w:r>
      <w:r>
        <w:rPr>
          <w:rFonts w:hint="eastAsia" w:ascii="仿宋" w:hAnsi="仿宋" w:eastAsia="仿宋"/>
          <w:color w:val="000000" w:themeColor="text1"/>
          <w:sz w:val="32"/>
          <w:szCs w:val="32"/>
        </w:rPr>
        <w:t>，定期开展教师专业技术培训，实施订单式培养模式，加强教学改革，优化专业课程体系，改善实训设备，建立教学过程监控体系。</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我校为达到较好的技能教学效果，制定了教师出勤、教学评价、教学巡查、各学期实训项目教学计划，实训项目教学设计、实训实验教学检测等一系列监控体系，从教师的教态、教案、作业批改、学生对教师教学评议，实训教学安全，实训教学产品等全方位建设，狠抓落实。</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2018年5月我校组织第十四届校园技能大赛，12个大项17个小项总计参赛人数655名选手参赛，共计125人分别获一、二、三等奖，获奖率约20%。</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2018年12月我校参加南充市第七届教师技能大赛参赛的5个大项1个小项，项目获奖率100％。并获得团体二等奖。（见表7）</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表7：</w:t>
      </w:r>
    </w:p>
    <w:p>
      <w:pPr>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2018年南充市第七届教师技能大赛我校获奖情况</w:t>
      </w:r>
    </w:p>
    <w:tbl>
      <w:tblPr>
        <w:tblStyle w:val="7"/>
        <w:tblW w:w="86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3004"/>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32" w:type="dxa"/>
          </w:tcPr>
          <w:p>
            <w:pPr>
              <w:jc w:val="center"/>
              <w:rPr>
                <w:rFonts w:ascii="仿宋" w:hAnsi="仿宋" w:eastAsia="仿宋"/>
                <w:b/>
                <w:sz w:val="28"/>
                <w:szCs w:val="28"/>
              </w:rPr>
            </w:pPr>
            <w:r>
              <w:rPr>
                <w:rFonts w:hint="eastAsia" w:ascii="仿宋" w:hAnsi="仿宋" w:eastAsia="仿宋"/>
                <w:b/>
                <w:sz w:val="28"/>
                <w:szCs w:val="28"/>
              </w:rPr>
              <w:t>参赛项目</w:t>
            </w:r>
          </w:p>
        </w:tc>
        <w:tc>
          <w:tcPr>
            <w:tcW w:w="3004" w:type="dxa"/>
          </w:tcPr>
          <w:p>
            <w:pPr>
              <w:jc w:val="center"/>
              <w:rPr>
                <w:rFonts w:ascii="仿宋" w:hAnsi="仿宋" w:eastAsia="仿宋"/>
                <w:b/>
                <w:sz w:val="28"/>
                <w:szCs w:val="28"/>
              </w:rPr>
            </w:pPr>
            <w:r>
              <w:rPr>
                <w:rFonts w:hint="eastAsia" w:ascii="仿宋" w:hAnsi="仿宋" w:eastAsia="仿宋"/>
                <w:b/>
                <w:sz w:val="28"/>
                <w:szCs w:val="28"/>
              </w:rPr>
              <w:t>获奖教师</w:t>
            </w:r>
          </w:p>
        </w:tc>
        <w:tc>
          <w:tcPr>
            <w:tcW w:w="1953" w:type="dxa"/>
          </w:tcPr>
          <w:p>
            <w:pPr>
              <w:jc w:val="center"/>
              <w:rPr>
                <w:rFonts w:ascii="仿宋" w:hAnsi="仿宋" w:eastAsia="仿宋"/>
                <w:b/>
                <w:sz w:val="28"/>
                <w:szCs w:val="28"/>
              </w:rPr>
            </w:pPr>
            <w:r>
              <w:rPr>
                <w:rFonts w:hint="eastAsia" w:ascii="仿宋" w:hAnsi="仿宋" w:eastAsia="仿宋"/>
                <w:b/>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732" w:type="dxa"/>
          </w:tcPr>
          <w:p>
            <w:pPr>
              <w:jc w:val="center"/>
              <w:rPr>
                <w:rFonts w:ascii="仿宋" w:hAnsi="仿宋" w:eastAsia="仿宋"/>
                <w:b/>
                <w:sz w:val="28"/>
                <w:szCs w:val="28"/>
              </w:rPr>
            </w:pPr>
            <w:r>
              <w:rPr>
                <w:rFonts w:hint="eastAsia" w:ascii="仿宋" w:hAnsi="仿宋" w:eastAsia="仿宋"/>
                <w:b/>
                <w:sz w:val="28"/>
                <w:szCs w:val="28"/>
              </w:rPr>
              <w:t>数控综合加工</w:t>
            </w:r>
          </w:p>
        </w:tc>
        <w:tc>
          <w:tcPr>
            <w:tcW w:w="3004" w:type="dxa"/>
          </w:tcPr>
          <w:p>
            <w:pPr>
              <w:jc w:val="center"/>
              <w:rPr>
                <w:rFonts w:ascii="仿宋" w:hAnsi="仿宋" w:eastAsia="仿宋"/>
                <w:sz w:val="28"/>
                <w:szCs w:val="28"/>
              </w:rPr>
            </w:pPr>
            <w:r>
              <w:rPr>
                <w:rFonts w:hint="eastAsia" w:ascii="仿宋" w:hAnsi="仿宋" w:eastAsia="仿宋"/>
                <w:sz w:val="28"/>
                <w:szCs w:val="28"/>
              </w:rPr>
              <w:t>罗  文、庞晓臣</w:t>
            </w:r>
          </w:p>
        </w:tc>
        <w:tc>
          <w:tcPr>
            <w:tcW w:w="1953" w:type="dxa"/>
          </w:tcPr>
          <w:p>
            <w:pPr>
              <w:jc w:val="center"/>
              <w:rPr>
                <w:rFonts w:ascii="仿宋" w:hAnsi="仿宋" w:eastAsia="仿宋"/>
                <w:sz w:val="28"/>
                <w:szCs w:val="28"/>
              </w:rPr>
            </w:pPr>
            <w:r>
              <w:rPr>
                <w:rFonts w:hint="eastAsia" w:ascii="仿宋" w:hAnsi="仿宋"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732" w:type="dxa"/>
            <w:vMerge w:val="restart"/>
          </w:tcPr>
          <w:p>
            <w:pPr>
              <w:jc w:val="center"/>
              <w:rPr>
                <w:rFonts w:ascii="仿宋" w:hAnsi="仿宋" w:eastAsia="仿宋"/>
                <w:b/>
                <w:sz w:val="28"/>
                <w:szCs w:val="28"/>
              </w:rPr>
            </w:pPr>
            <w:r>
              <w:rPr>
                <w:rFonts w:hint="eastAsia" w:ascii="仿宋" w:hAnsi="仿宋" w:eastAsia="仿宋"/>
                <w:b/>
                <w:sz w:val="28"/>
                <w:szCs w:val="28"/>
              </w:rPr>
              <w:t>单片机控制装置安装与应用</w:t>
            </w:r>
          </w:p>
        </w:tc>
        <w:tc>
          <w:tcPr>
            <w:tcW w:w="3004" w:type="dxa"/>
          </w:tcPr>
          <w:p>
            <w:pPr>
              <w:jc w:val="center"/>
              <w:rPr>
                <w:rFonts w:ascii="仿宋" w:hAnsi="仿宋" w:eastAsia="仿宋"/>
                <w:sz w:val="28"/>
                <w:szCs w:val="28"/>
              </w:rPr>
            </w:pPr>
            <w:r>
              <w:rPr>
                <w:rFonts w:hint="eastAsia" w:ascii="仿宋" w:hAnsi="仿宋" w:eastAsia="仿宋"/>
                <w:sz w:val="28"/>
                <w:szCs w:val="28"/>
              </w:rPr>
              <w:t>彭  栋</w:t>
            </w:r>
          </w:p>
        </w:tc>
        <w:tc>
          <w:tcPr>
            <w:tcW w:w="1953" w:type="dxa"/>
          </w:tcPr>
          <w:p>
            <w:pPr>
              <w:jc w:val="center"/>
              <w:rPr>
                <w:rFonts w:ascii="仿宋" w:hAnsi="仿宋" w:eastAsia="仿宋"/>
                <w:sz w:val="28"/>
                <w:szCs w:val="28"/>
              </w:rPr>
            </w:pPr>
            <w:r>
              <w:rPr>
                <w:rFonts w:hint="eastAsia" w:ascii="仿宋" w:hAnsi="仿宋" w:eastAsia="仿宋"/>
                <w:sz w:val="28"/>
                <w:szCs w:val="2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732" w:type="dxa"/>
            <w:vMerge w:val="continue"/>
          </w:tcPr>
          <w:p>
            <w:pPr>
              <w:jc w:val="center"/>
              <w:rPr>
                <w:rFonts w:ascii="仿宋" w:hAnsi="仿宋" w:eastAsia="仿宋"/>
                <w:b/>
                <w:sz w:val="28"/>
                <w:szCs w:val="28"/>
              </w:rPr>
            </w:pPr>
          </w:p>
        </w:tc>
        <w:tc>
          <w:tcPr>
            <w:tcW w:w="3004" w:type="dxa"/>
          </w:tcPr>
          <w:p>
            <w:pPr>
              <w:jc w:val="center"/>
              <w:rPr>
                <w:rFonts w:ascii="仿宋" w:hAnsi="仿宋" w:eastAsia="仿宋"/>
                <w:sz w:val="28"/>
                <w:szCs w:val="28"/>
              </w:rPr>
            </w:pPr>
            <w:r>
              <w:rPr>
                <w:rFonts w:hint="eastAsia" w:ascii="仿宋" w:hAnsi="仿宋" w:eastAsia="仿宋"/>
                <w:sz w:val="28"/>
                <w:szCs w:val="28"/>
              </w:rPr>
              <w:t>李真</w:t>
            </w:r>
          </w:p>
        </w:tc>
        <w:tc>
          <w:tcPr>
            <w:tcW w:w="1953" w:type="dxa"/>
          </w:tcPr>
          <w:p>
            <w:pPr>
              <w:jc w:val="center"/>
              <w:rPr>
                <w:rFonts w:ascii="仿宋" w:hAnsi="仿宋" w:eastAsia="仿宋"/>
                <w:sz w:val="28"/>
                <w:szCs w:val="28"/>
              </w:rPr>
            </w:pPr>
            <w:r>
              <w:rPr>
                <w:rFonts w:hint="eastAsia" w:ascii="仿宋" w:hAnsi="仿宋" w:eastAsia="仿宋"/>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732" w:type="dxa"/>
            <w:vMerge w:val="restart"/>
          </w:tcPr>
          <w:p>
            <w:pPr>
              <w:jc w:val="center"/>
              <w:rPr>
                <w:rFonts w:ascii="仿宋" w:hAnsi="仿宋" w:eastAsia="仿宋"/>
                <w:b/>
                <w:sz w:val="28"/>
                <w:szCs w:val="28"/>
              </w:rPr>
            </w:pPr>
            <w:r>
              <w:rPr>
                <w:rFonts w:hint="eastAsia" w:ascii="仿宋" w:hAnsi="仿宋" w:eastAsia="仿宋"/>
                <w:b/>
                <w:sz w:val="28"/>
                <w:szCs w:val="28"/>
              </w:rPr>
              <w:t>电子电路装调与应用</w:t>
            </w:r>
          </w:p>
        </w:tc>
        <w:tc>
          <w:tcPr>
            <w:tcW w:w="3004" w:type="dxa"/>
          </w:tcPr>
          <w:p>
            <w:pPr>
              <w:jc w:val="center"/>
              <w:rPr>
                <w:rFonts w:ascii="仿宋" w:hAnsi="仿宋" w:eastAsia="仿宋"/>
                <w:sz w:val="28"/>
                <w:szCs w:val="28"/>
              </w:rPr>
            </w:pPr>
            <w:r>
              <w:rPr>
                <w:rFonts w:hint="eastAsia" w:ascii="仿宋" w:hAnsi="仿宋" w:eastAsia="仿宋"/>
                <w:sz w:val="28"/>
                <w:szCs w:val="28"/>
              </w:rPr>
              <w:t>尹秋雁</w:t>
            </w:r>
          </w:p>
        </w:tc>
        <w:tc>
          <w:tcPr>
            <w:tcW w:w="1953" w:type="dxa"/>
          </w:tcPr>
          <w:p>
            <w:pPr>
              <w:jc w:val="center"/>
              <w:rPr>
                <w:rFonts w:ascii="仿宋" w:hAnsi="仿宋" w:eastAsia="仿宋"/>
                <w:sz w:val="28"/>
                <w:szCs w:val="28"/>
              </w:rPr>
            </w:pPr>
            <w:r>
              <w:rPr>
                <w:rFonts w:hint="eastAsia" w:ascii="仿宋" w:hAnsi="仿宋"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3732" w:type="dxa"/>
            <w:vMerge w:val="continue"/>
          </w:tcPr>
          <w:p>
            <w:pPr>
              <w:jc w:val="center"/>
              <w:rPr>
                <w:rFonts w:ascii="仿宋" w:hAnsi="仿宋" w:eastAsia="仿宋"/>
                <w:b/>
                <w:sz w:val="28"/>
                <w:szCs w:val="28"/>
              </w:rPr>
            </w:pPr>
          </w:p>
        </w:tc>
        <w:tc>
          <w:tcPr>
            <w:tcW w:w="3004" w:type="dxa"/>
          </w:tcPr>
          <w:p>
            <w:pPr>
              <w:jc w:val="center"/>
              <w:rPr>
                <w:rFonts w:ascii="仿宋" w:hAnsi="仿宋" w:eastAsia="仿宋"/>
                <w:sz w:val="28"/>
                <w:szCs w:val="28"/>
              </w:rPr>
            </w:pPr>
            <w:r>
              <w:rPr>
                <w:rFonts w:hint="eastAsia" w:ascii="仿宋" w:hAnsi="仿宋" w:eastAsia="仿宋"/>
                <w:sz w:val="28"/>
                <w:szCs w:val="28"/>
              </w:rPr>
              <w:t>张定洲</w:t>
            </w:r>
          </w:p>
        </w:tc>
        <w:tc>
          <w:tcPr>
            <w:tcW w:w="1953" w:type="dxa"/>
          </w:tcPr>
          <w:p>
            <w:pPr>
              <w:jc w:val="center"/>
              <w:rPr>
                <w:rFonts w:ascii="仿宋" w:hAnsi="仿宋" w:eastAsia="仿宋"/>
                <w:sz w:val="28"/>
                <w:szCs w:val="28"/>
              </w:rPr>
            </w:pPr>
            <w:r>
              <w:rPr>
                <w:rFonts w:hint="eastAsia" w:ascii="仿宋" w:hAnsi="仿宋"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tcPr>
          <w:p>
            <w:pPr>
              <w:jc w:val="center"/>
              <w:rPr>
                <w:rFonts w:ascii="仿宋" w:hAnsi="仿宋" w:eastAsia="仿宋"/>
                <w:b/>
                <w:sz w:val="28"/>
                <w:szCs w:val="28"/>
              </w:rPr>
            </w:pPr>
            <w:r>
              <w:rPr>
                <w:rFonts w:hint="eastAsia" w:ascii="仿宋" w:hAnsi="仿宋" w:eastAsia="仿宋"/>
                <w:b/>
                <w:sz w:val="28"/>
                <w:szCs w:val="28"/>
              </w:rPr>
              <w:t>汽车维修</w:t>
            </w:r>
          </w:p>
        </w:tc>
        <w:tc>
          <w:tcPr>
            <w:tcW w:w="3004" w:type="dxa"/>
          </w:tcPr>
          <w:p>
            <w:pPr>
              <w:jc w:val="center"/>
              <w:rPr>
                <w:rFonts w:ascii="仿宋" w:hAnsi="仿宋" w:eastAsia="仿宋" w:cs="宋体"/>
                <w:color w:val="000000"/>
                <w:sz w:val="28"/>
                <w:szCs w:val="28"/>
              </w:rPr>
            </w:pPr>
            <w:r>
              <w:rPr>
                <w:rFonts w:hint="eastAsia" w:ascii="仿宋" w:hAnsi="仿宋" w:eastAsia="仿宋"/>
                <w:color w:val="000000"/>
                <w:sz w:val="28"/>
                <w:szCs w:val="28"/>
              </w:rPr>
              <w:t>韩  森、张斌诺</w:t>
            </w:r>
          </w:p>
        </w:tc>
        <w:tc>
          <w:tcPr>
            <w:tcW w:w="1953" w:type="dxa"/>
          </w:tcPr>
          <w:p>
            <w:pPr>
              <w:jc w:val="center"/>
              <w:rPr>
                <w:rFonts w:ascii="仿宋" w:hAnsi="仿宋" w:eastAsia="仿宋"/>
                <w:sz w:val="28"/>
                <w:szCs w:val="28"/>
              </w:rPr>
            </w:pPr>
            <w:r>
              <w:rPr>
                <w:rFonts w:hint="eastAsia" w:ascii="仿宋" w:hAnsi="仿宋"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2" w:type="dxa"/>
          </w:tcPr>
          <w:p>
            <w:pPr>
              <w:jc w:val="center"/>
              <w:rPr>
                <w:rFonts w:ascii="仿宋" w:hAnsi="仿宋" w:eastAsia="仿宋"/>
                <w:b/>
                <w:sz w:val="28"/>
                <w:szCs w:val="28"/>
              </w:rPr>
            </w:pPr>
            <w:r>
              <w:rPr>
                <w:rFonts w:hint="eastAsia" w:ascii="仿宋" w:hAnsi="仿宋" w:eastAsia="仿宋"/>
                <w:b/>
                <w:sz w:val="28"/>
                <w:szCs w:val="28"/>
              </w:rPr>
              <w:t>会计技能</w:t>
            </w:r>
          </w:p>
        </w:tc>
        <w:tc>
          <w:tcPr>
            <w:tcW w:w="3004" w:type="dxa"/>
          </w:tcPr>
          <w:p>
            <w:pPr>
              <w:jc w:val="center"/>
              <w:rPr>
                <w:rFonts w:ascii="仿宋" w:hAnsi="仿宋" w:eastAsia="仿宋"/>
                <w:sz w:val="28"/>
                <w:szCs w:val="28"/>
              </w:rPr>
            </w:pPr>
            <w:r>
              <w:rPr>
                <w:rFonts w:hint="eastAsia" w:ascii="仿宋" w:hAnsi="仿宋" w:eastAsia="仿宋"/>
                <w:sz w:val="28"/>
                <w:szCs w:val="28"/>
              </w:rPr>
              <w:t>梅娜</w:t>
            </w:r>
          </w:p>
        </w:tc>
        <w:tc>
          <w:tcPr>
            <w:tcW w:w="1953" w:type="dxa"/>
          </w:tcPr>
          <w:p>
            <w:pPr>
              <w:jc w:val="center"/>
              <w:rPr>
                <w:rFonts w:ascii="仿宋" w:hAnsi="仿宋" w:eastAsia="仿宋"/>
                <w:sz w:val="28"/>
                <w:szCs w:val="28"/>
              </w:rPr>
            </w:pPr>
            <w:r>
              <w:rPr>
                <w:rFonts w:hint="eastAsia" w:ascii="仿宋" w:hAnsi="仿宋" w:eastAsia="仿宋"/>
                <w:sz w:val="28"/>
                <w:szCs w:val="2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36" w:type="dxa"/>
            <w:gridSpan w:val="2"/>
          </w:tcPr>
          <w:p>
            <w:pPr>
              <w:jc w:val="center"/>
              <w:rPr>
                <w:rFonts w:ascii="仿宋" w:hAnsi="仿宋" w:eastAsia="仿宋"/>
                <w:b/>
                <w:sz w:val="28"/>
                <w:szCs w:val="28"/>
              </w:rPr>
            </w:pPr>
            <w:r>
              <w:rPr>
                <w:rFonts w:hint="eastAsia" w:ascii="仿宋" w:hAnsi="仿宋" w:eastAsia="仿宋"/>
                <w:b/>
                <w:sz w:val="28"/>
                <w:szCs w:val="28"/>
              </w:rPr>
              <w:t>团体奖</w:t>
            </w:r>
          </w:p>
        </w:tc>
        <w:tc>
          <w:tcPr>
            <w:tcW w:w="1953" w:type="dxa"/>
          </w:tcPr>
          <w:p>
            <w:pPr>
              <w:jc w:val="center"/>
              <w:rPr>
                <w:rFonts w:ascii="仿宋" w:hAnsi="仿宋" w:eastAsia="仿宋"/>
                <w:sz w:val="28"/>
                <w:szCs w:val="28"/>
              </w:rPr>
            </w:pPr>
            <w:r>
              <w:rPr>
                <w:rFonts w:hint="eastAsia" w:ascii="仿宋" w:hAnsi="仿宋" w:eastAsia="仿宋"/>
                <w:sz w:val="28"/>
                <w:szCs w:val="28"/>
              </w:rPr>
              <w:t>二等奖</w:t>
            </w:r>
          </w:p>
        </w:tc>
      </w:tr>
    </w:tbl>
    <w:p>
      <w:pPr>
        <w:ind w:firstLine="643" w:firstLineChars="200"/>
        <w:rPr>
          <w:rFonts w:hint="eastAsia" w:ascii="仿宋" w:hAnsi="仿宋" w:eastAsia="仿宋"/>
          <w:b/>
          <w:color w:val="000000" w:themeColor="text1"/>
          <w:sz w:val="32"/>
          <w:szCs w:val="32"/>
        </w:rPr>
      </w:pPr>
      <w:r>
        <w:rPr>
          <w:rFonts w:hint="eastAsia" w:ascii="仿宋" w:hAnsi="仿宋" w:eastAsia="仿宋"/>
          <w:b/>
          <w:color w:val="000000" w:themeColor="text1"/>
          <w:sz w:val="32"/>
          <w:szCs w:val="32"/>
        </w:rPr>
        <w:t>3.3教师培养培训</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教师队伍是提高学校办学水平和提升人才培养质量的关键</w:t>
      </w:r>
      <w:r>
        <w:rPr>
          <w:rFonts w:ascii="仿宋" w:hAnsi="仿宋" w:eastAsia="仿宋"/>
          <w:color w:val="000000" w:themeColor="text1"/>
          <w:sz w:val="32"/>
          <w:szCs w:val="32"/>
        </w:rPr>
        <w:t>，</w:t>
      </w:r>
      <w:r>
        <w:rPr>
          <w:rFonts w:hint="eastAsia" w:ascii="仿宋" w:hAnsi="仿宋" w:eastAsia="仿宋"/>
          <w:color w:val="000000" w:themeColor="text1"/>
          <w:sz w:val="32"/>
          <w:szCs w:val="32"/>
        </w:rPr>
        <w:t>加强教师队伍建设是中等职业教育发展最重要的基础工程。2018年，我校采用“内引外培”的模式培养教师，通过请进来、走出去、全方位、多渠道地引进教师，</w:t>
      </w:r>
      <w:r>
        <w:rPr>
          <w:rFonts w:hint="eastAsia" w:ascii="仿宋" w:hAnsi="仿宋" w:eastAsia="仿宋"/>
          <w:sz w:val="32"/>
          <w:szCs w:val="32"/>
        </w:rPr>
        <w:t>2018年送培30人次，其中6位教师参加了电子科大、成都工业学院师资培训，26人参加了网上研修，4位省级名师工作室成员（庞子靓、吴从均、杨俊梅2次、杨大平）参加了名师工作室培训，</w:t>
      </w:r>
      <w:r>
        <w:rPr>
          <w:rFonts w:hint="eastAsia" w:ascii="仿宋" w:hAnsi="仿宋" w:eastAsia="仿宋"/>
          <w:color w:val="000000" w:themeColor="text1"/>
          <w:sz w:val="32"/>
          <w:szCs w:val="32"/>
        </w:rPr>
        <w:t>有效推动了“双师型”教师队伍建设，对我校教育教学质量的提高起到了至关重要的作用。</w:t>
      </w:r>
    </w:p>
    <w:p>
      <w:pPr>
        <w:ind w:firstLine="643" w:firstLineChars="200"/>
        <w:rPr>
          <w:rFonts w:hint="eastAsia" w:ascii="仿宋" w:hAnsi="仿宋" w:eastAsia="仿宋"/>
          <w:b/>
          <w:color w:val="000000" w:themeColor="text1"/>
          <w:sz w:val="32"/>
          <w:szCs w:val="32"/>
        </w:rPr>
      </w:pPr>
      <w:r>
        <w:rPr>
          <w:rFonts w:hint="eastAsia" w:ascii="仿宋" w:hAnsi="仿宋" w:eastAsia="仿宋"/>
          <w:b/>
          <w:color w:val="000000" w:themeColor="text1"/>
          <w:sz w:val="32"/>
          <w:szCs w:val="32"/>
        </w:rPr>
        <w:t>3.4规范管理情况</w:t>
      </w:r>
    </w:p>
    <w:p>
      <w:pPr>
        <w:ind w:firstLine="640" w:firstLineChars="200"/>
        <w:rPr>
          <w:rFonts w:hint="eastAsia" w:ascii="仿宋" w:hAnsi="仿宋" w:eastAsia="仿宋" w:cs="仿宋_GB2312"/>
          <w:color w:val="000000" w:themeColor="text1"/>
          <w:kern w:val="0"/>
          <w:sz w:val="32"/>
          <w:szCs w:val="32"/>
          <w:shd w:val="clear" w:color="auto" w:fill="FFFFFF"/>
        </w:rPr>
      </w:pPr>
      <w:r>
        <w:rPr>
          <w:rFonts w:hint="eastAsia" w:ascii="仿宋" w:hAnsi="仿宋" w:eastAsia="仿宋" w:cs="仿宋_GB2312"/>
          <w:color w:val="000000" w:themeColor="text1"/>
          <w:kern w:val="0"/>
          <w:sz w:val="32"/>
          <w:szCs w:val="32"/>
          <w:shd w:val="clear" w:color="auto" w:fill="FFFFFF"/>
        </w:rPr>
        <w:t>教学管理学校制定长期、短期</w:t>
      </w:r>
      <w:r>
        <w:fldChar w:fldCharType="begin"/>
      </w:r>
      <w:r>
        <w:instrText xml:space="preserve"> HYPERLINK "https://baike.baidu.com/item/%E6%95%99%E5%AD%A6%E5%B7%A5%E4%BD%9C%E8%AE%A1%E5%88%92" \t "https://baike.baidu.com/item/%E6%95%99%E5%AD%A6%E7%AE%A1%E7%90%86/_blank" </w:instrText>
      </w:r>
      <w:r>
        <w:fldChar w:fldCharType="separate"/>
      </w:r>
      <w:r>
        <w:rPr>
          <w:rStyle w:val="10"/>
          <w:rFonts w:hint="eastAsia" w:ascii="仿宋" w:hAnsi="仿宋" w:eastAsia="仿宋" w:cs="仿宋_GB2312"/>
          <w:color w:val="000000" w:themeColor="text1"/>
          <w:sz w:val="32"/>
          <w:szCs w:val="32"/>
          <w:shd w:val="clear" w:color="auto" w:fill="FFFFFF"/>
        </w:rPr>
        <w:t>教学工作计划</w:t>
      </w:r>
      <w:r>
        <w:rPr>
          <w:rStyle w:val="10"/>
          <w:rFonts w:hint="eastAsia" w:ascii="仿宋" w:hAnsi="仿宋" w:eastAsia="仿宋" w:cs="仿宋_GB2312"/>
          <w:color w:val="000000" w:themeColor="text1"/>
          <w:sz w:val="32"/>
          <w:szCs w:val="32"/>
          <w:shd w:val="clear" w:color="auto" w:fill="FFFFFF"/>
        </w:rPr>
        <w:fldChar w:fldCharType="end"/>
      </w:r>
      <w:r>
        <w:rPr>
          <w:rFonts w:hint="eastAsia" w:ascii="仿宋" w:hAnsi="仿宋" w:eastAsia="仿宋" w:cs="仿宋_GB2312"/>
          <w:color w:val="000000" w:themeColor="text1"/>
          <w:kern w:val="0"/>
          <w:sz w:val="32"/>
          <w:szCs w:val="32"/>
          <w:shd w:val="clear" w:color="auto" w:fill="FFFFFF"/>
        </w:rPr>
        <w:t>，明确教学工作目标，保证学校教学工作有计划、有步骤、有条不紊地运转。设立有教学管理机构和教学管理</w:t>
      </w:r>
      <w:r>
        <w:rPr>
          <w:rFonts w:hint="eastAsia" w:ascii="仿宋" w:hAnsi="仿宋" w:eastAsia="仿宋" w:cs="仿宋_GB2312"/>
          <w:color w:val="000000" w:themeColor="text1"/>
          <w:kern w:val="0"/>
          <w:sz w:val="32"/>
          <w:szCs w:val="32"/>
          <w:shd w:val="clear" w:color="auto" w:fill="FFFFFF"/>
          <w:lang w:eastAsia="zh-CN"/>
        </w:rPr>
        <w:t>质量评价</w:t>
      </w:r>
      <w:r>
        <w:rPr>
          <w:rFonts w:hint="eastAsia" w:ascii="仿宋" w:hAnsi="仿宋" w:eastAsia="仿宋" w:cs="仿宋_GB2312"/>
          <w:color w:val="000000" w:themeColor="text1"/>
          <w:kern w:val="0"/>
          <w:sz w:val="32"/>
          <w:szCs w:val="32"/>
          <w:shd w:val="clear" w:color="auto" w:fill="FFFFFF"/>
        </w:rPr>
        <w:t>系统，明确职责范围，发挥管理机构及人员的作用</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加强教师的教学质量和学生的学习质量管理。组织开展教学研究活动，促进教学工作改革。深入教学第一线，加强检查指导，及时总结经验，提高教学质量，加强教务行政管理工作。</w:t>
      </w:r>
    </w:p>
    <w:p>
      <w:pPr>
        <w:ind w:firstLine="640" w:firstLineChars="200"/>
        <w:rPr>
          <w:rFonts w:hint="eastAsia" w:ascii="仿宋" w:hAnsi="仿宋" w:eastAsia="仿宋" w:cs="仿宋_GB2312"/>
          <w:color w:val="000000" w:themeColor="text1"/>
          <w:kern w:val="0"/>
          <w:sz w:val="32"/>
          <w:szCs w:val="32"/>
          <w:shd w:val="clear" w:color="auto" w:fill="FFFFFF"/>
        </w:rPr>
      </w:pPr>
      <w:r>
        <w:rPr>
          <w:rFonts w:hint="eastAsia" w:ascii="仿宋" w:hAnsi="仿宋" w:eastAsia="仿宋" w:cs="仿宋_GB2312"/>
          <w:color w:val="000000" w:themeColor="text1"/>
          <w:sz w:val="32"/>
          <w:szCs w:val="32"/>
          <w:shd w:val="clear" w:color="auto" w:fill="FFFFFF"/>
        </w:rPr>
        <w:t>校务管理</w:t>
      </w:r>
      <w:r>
        <w:rPr>
          <w:rFonts w:hint="eastAsia" w:ascii="仿宋" w:hAnsi="仿宋" w:eastAsia="仿宋" w:cs="仿宋_GB2312"/>
          <w:color w:val="000000" w:themeColor="text1"/>
          <w:kern w:val="0"/>
          <w:sz w:val="32"/>
          <w:szCs w:val="32"/>
          <w:shd w:val="clear" w:color="auto" w:fill="FFFFFF"/>
        </w:rPr>
        <w:t>办学思想端正，全面贯彻国家的教育方针，认真实施素质教育。树立正确的教育观和质量观，面向全体学生，促进学生全面发展。坚持依法治校，遵守教育法律法规，不乱办学，不乱收费，不举办“校中校”。建立健全学校各项规章制度</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实行校长负责制，完善全员聘</w:t>
      </w:r>
      <w:r>
        <w:rPr>
          <w:rFonts w:hint="eastAsia" w:ascii="仿宋" w:hAnsi="仿宋" w:eastAsia="仿宋" w:cs="仿宋_GB2312"/>
          <w:color w:val="000000" w:themeColor="text1"/>
          <w:kern w:val="0"/>
          <w:sz w:val="32"/>
          <w:szCs w:val="32"/>
          <w:shd w:val="clear" w:color="auto" w:fill="FFFFFF"/>
          <w:lang w:eastAsia="zh-CN"/>
        </w:rPr>
        <w:t>任</w:t>
      </w:r>
      <w:r>
        <w:rPr>
          <w:rFonts w:hint="eastAsia" w:ascii="仿宋" w:hAnsi="仿宋" w:eastAsia="仿宋" w:cs="仿宋_GB2312"/>
          <w:color w:val="000000" w:themeColor="text1"/>
          <w:kern w:val="0"/>
          <w:sz w:val="32"/>
          <w:szCs w:val="32"/>
          <w:shd w:val="clear" w:color="auto" w:fill="FFFFFF"/>
        </w:rPr>
        <w:t>制、岗位责任制。坚持民主管理学校，推行校务公开。</w:t>
      </w:r>
    </w:p>
    <w:p>
      <w:pPr>
        <w:ind w:firstLine="640" w:firstLineChars="200"/>
        <w:rPr>
          <w:rFonts w:hint="eastAsia" w:ascii="仿宋" w:hAnsi="仿宋" w:eastAsia="仿宋" w:cs="仿宋_GB2312"/>
          <w:color w:val="000000" w:themeColor="text1"/>
          <w:kern w:val="0"/>
          <w:sz w:val="32"/>
          <w:szCs w:val="32"/>
          <w:shd w:val="clear" w:color="auto" w:fill="FFFFFF"/>
        </w:rPr>
      </w:pPr>
      <w:r>
        <w:rPr>
          <w:rFonts w:ascii="仿宋" w:hAnsi="仿宋" w:eastAsia="仿宋" w:cs="仿宋_GB2312"/>
          <w:bCs/>
          <w:color w:val="000000" w:themeColor="text1"/>
          <w:sz w:val="32"/>
          <w:szCs w:val="32"/>
          <w:shd w:val="clear" w:color="auto" w:fill="FFFFFF"/>
        </w:rPr>
        <w:t>教师管理</w:t>
      </w:r>
      <w:r>
        <w:rPr>
          <w:rFonts w:hint="eastAsia" w:ascii="仿宋" w:hAnsi="仿宋" w:eastAsia="仿宋" w:cs="仿宋_GB2312"/>
          <w:bCs/>
          <w:color w:val="000000" w:themeColor="text1"/>
          <w:kern w:val="0"/>
          <w:sz w:val="32"/>
          <w:szCs w:val="32"/>
          <w:shd w:val="clear" w:color="auto" w:fill="FFFFFF"/>
        </w:rPr>
        <w:t>组织教师进修，开展校本培训和教研活动，建立集体备课制度。</w:t>
      </w:r>
      <w:r>
        <w:rPr>
          <w:rFonts w:hint="eastAsia" w:ascii="仿宋" w:hAnsi="仿宋" w:eastAsia="仿宋" w:cs="仿宋_GB2312"/>
          <w:color w:val="000000" w:themeColor="text1"/>
          <w:kern w:val="0"/>
          <w:sz w:val="32"/>
          <w:szCs w:val="32"/>
          <w:shd w:val="clear" w:color="auto" w:fill="FFFFFF"/>
        </w:rPr>
        <w:t>加强师德</w:t>
      </w:r>
      <w:r>
        <w:rPr>
          <w:rFonts w:hint="eastAsia" w:ascii="仿宋" w:hAnsi="仿宋" w:eastAsia="仿宋" w:cs="仿宋_GB2312"/>
          <w:color w:val="000000" w:themeColor="text1"/>
          <w:kern w:val="0"/>
          <w:sz w:val="32"/>
          <w:szCs w:val="32"/>
          <w:shd w:val="clear" w:color="auto" w:fill="FFFFFF"/>
          <w:lang w:eastAsia="zh-CN"/>
        </w:rPr>
        <w:t>师风</w:t>
      </w:r>
      <w:r>
        <w:rPr>
          <w:rFonts w:hint="eastAsia" w:ascii="仿宋" w:hAnsi="仿宋" w:eastAsia="仿宋" w:cs="仿宋_GB2312"/>
          <w:color w:val="000000" w:themeColor="text1"/>
          <w:kern w:val="0"/>
          <w:sz w:val="32"/>
          <w:szCs w:val="32"/>
          <w:shd w:val="clear" w:color="auto" w:fill="FFFFFF"/>
        </w:rPr>
        <w:t>建设</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教育教师遵章守纪，爱岗敬业，教书育人，为人师表；认真备课、上课、布置批改作业、辅导学生和组织课外活动；尊重学生人格，不歧视、侮辱、体罚和变相体罚学生，维护学生的合法权益；不搞有偿家教。</w:t>
      </w:r>
    </w:p>
    <w:p>
      <w:pPr>
        <w:ind w:firstLine="640" w:firstLineChars="200"/>
        <w:rPr>
          <w:rFonts w:hint="eastAsia" w:ascii="仿宋" w:hAnsi="仿宋" w:eastAsia="仿宋" w:cs="仿宋_GB2312"/>
          <w:color w:val="000000" w:themeColor="text1"/>
          <w:kern w:val="0"/>
          <w:sz w:val="32"/>
          <w:szCs w:val="32"/>
          <w:shd w:val="clear" w:color="auto" w:fill="FFFFFF"/>
        </w:rPr>
      </w:pPr>
      <w:r>
        <w:rPr>
          <w:rFonts w:ascii="仿宋" w:hAnsi="仿宋" w:eastAsia="仿宋" w:cs="仿宋_GB2312"/>
          <w:bCs/>
          <w:color w:val="000000" w:themeColor="text1"/>
          <w:sz w:val="32"/>
          <w:szCs w:val="32"/>
          <w:shd w:val="clear" w:color="auto" w:fill="FFFFFF"/>
        </w:rPr>
        <w:t>学生管理</w:t>
      </w:r>
      <w:r>
        <w:rPr>
          <w:rFonts w:hint="eastAsia" w:ascii="仿宋" w:hAnsi="仿宋" w:eastAsia="仿宋" w:cs="仿宋_GB2312"/>
          <w:color w:val="000000" w:themeColor="text1"/>
          <w:kern w:val="0"/>
          <w:sz w:val="32"/>
          <w:szCs w:val="32"/>
          <w:shd w:val="clear" w:color="auto" w:fill="FFFFFF"/>
        </w:rPr>
        <w:t>德育为首。开展民族精神教育、理想信念教育、公民道德教育、法律纪律教育、心理健康教育。规范学生行为。教育学生自觉遵守《中</w:t>
      </w:r>
      <w:r>
        <w:rPr>
          <w:rFonts w:hint="eastAsia" w:ascii="仿宋" w:hAnsi="仿宋" w:eastAsia="仿宋" w:cs="仿宋_GB2312"/>
          <w:color w:val="000000" w:themeColor="text1"/>
          <w:kern w:val="0"/>
          <w:sz w:val="32"/>
          <w:szCs w:val="32"/>
          <w:shd w:val="clear" w:color="auto" w:fill="FFFFFF"/>
          <w:lang w:eastAsia="zh-CN"/>
        </w:rPr>
        <w:t>等职业学校</w:t>
      </w:r>
      <w:r>
        <w:rPr>
          <w:rFonts w:hint="eastAsia" w:ascii="仿宋" w:hAnsi="仿宋" w:eastAsia="仿宋" w:cs="仿宋_GB2312"/>
          <w:color w:val="000000" w:themeColor="text1"/>
          <w:kern w:val="0"/>
          <w:sz w:val="32"/>
          <w:szCs w:val="32"/>
          <w:shd w:val="clear" w:color="auto" w:fill="FFFFFF"/>
        </w:rPr>
        <w:t>学生守则》和《</w:t>
      </w:r>
      <w:r>
        <w:rPr>
          <w:rFonts w:hint="eastAsia" w:ascii="仿宋" w:hAnsi="仿宋" w:eastAsia="仿宋" w:cs="仿宋_GB2312"/>
          <w:color w:val="000000" w:themeColor="text1"/>
          <w:kern w:val="0"/>
          <w:sz w:val="32"/>
          <w:szCs w:val="32"/>
          <w:shd w:val="clear" w:color="auto" w:fill="FFFFFF"/>
          <w:lang w:eastAsia="zh-CN"/>
        </w:rPr>
        <w:t>中等职业学校</w:t>
      </w:r>
      <w:r>
        <w:rPr>
          <w:rFonts w:hint="eastAsia" w:ascii="仿宋" w:hAnsi="仿宋" w:eastAsia="仿宋" w:cs="仿宋_GB2312"/>
          <w:color w:val="000000" w:themeColor="text1"/>
          <w:kern w:val="0"/>
          <w:sz w:val="32"/>
          <w:szCs w:val="32"/>
          <w:shd w:val="clear" w:color="auto" w:fill="FFFFFF"/>
        </w:rPr>
        <w:t>日常行为规范》，培养学生良好的行为习惯。坚持全员育人</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学校有健全的党团和共青团组织，有班主任</w:t>
      </w:r>
      <w:r>
        <w:rPr>
          <w:rFonts w:hint="eastAsia" w:ascii="仿宋" w:hAnsi="仿宋" w:eastAsia="仿宋" w:cs="仿宋_GB2312"/>
          <w:color w:val="000000" w:themeColor="text1"/>
          <w:kern w:val="0"/>
          <w:sz w:val="32"/>
          <w:szCs w:val="32"/>
          <w:shd w:val="clear" w:color="auto" w:fill="FFFFFF"/>
          <w:lang w:eastAsia="zh-CN"/>
        </w:rPr>
        <w:t>管理</w:t>
      </w:r>
      <w:r>
        <w:rPr>
          <w:rFonts w:hint="eastAsia" w:ascii="仿宋" w:hAnsi="仿宋" w:eastAsia="仿宋" w:cs="仿宋_GB2312"/>
          <w:color w:val="000000" w:themeColor="text1"/>
          <w:kern w:val="0"/>
          <w:sz w:val="32"/>
          <w:szCs w:val="32"/>
          <w:shd w:val="clear" w:color="auto" w:fill="FFFFFF"/>
        </w:rPr>
        <w:t>制度，有与家庭、社会联系与合作</w:t>
      </w:r>
      <w:r>
        <w:rPr>
          <w:rFonts w:hint="eastAsia" w:ascii="仿宋" w:hAnsi="仿宋" w:eastAsia="仿宋" w:cs="仿宋_GB2312"/>
          <w:color w:val="000000" w:themeColor="text1"/>
          <w:kern w:val="0"/>
          <w:sz w:val="32"/>
          <w:szCs w:val="32"/>
          <w:shd w:val="clear" w:color="auto" w:fill="FFFFFF"/>
          <w:lang w:eastAsia="zh-CN"/>
        </w:rPr>
        <w:t>的</w:t>
      </w:r>
      <w:r>
        <w:rPr>
          <w:rFonts w:hint="eastAsia" w:ascii="仿宋" w:hAnsi="仿宋" w:eastAsia="仿宋" w:cs="仿宋_GB2312"/>
          <w:color w:val="000000" w:themeColor="text1"/>
          <w:kern w:val="0"/>
          <w:sz w:val="32"/>
          <w:szCs w:val="32"/>
          <w:shd w:val="clear" w:color="auto" w:fill="FFFFFF"/>
        </w:rPr>
        <w:t>制度。</w:t>
      </w:r>
    </w:p>
    <w:p>
      <w:pPr>
        <w:ind w:firstLine="640" w:firstLineChars="200"/>
        <w:rPr>
          <w:rFonts w:hint="eastAsia" w:ascii="仿宋" w:hAnsi="仿宋" w:eastAsia="仿宋" w:cs="仿宋_GB2312"/>
          <w:color w:val="000000" w:themeColor="text1"/>
          <w:kern w:val="0"/>
          <w:sz w:val="32"/>
          <w:szCs w:val="32"/>
          <w:shd w:val="clear" w:color="auto" w:fill="FFFFFF"/>
        </w:rPr>
      </w:pPr>
      <w:r>
        <w:rPr>
          <w:rFonts w:ascii="仿宋" w:hAnsi="仿宋" w:eastAsia="仿宋" w:cs="仿宋_GB2312"/>
          <w:bCs/>
          <w:color w:val="000000" w:themeColor="text1"/>
          <w:sz w:val="32"/>
          <w:szCs w:val="32"/>
          <w:shd w:val="clear" w:color="auto" w:fill="FFFFFF"/>
        </w:rPr>
        <w:t>教学科研管理</w:t>
      </w:r>
      <w:r>
        <w:rPr>
          <w:rFonts w:hint="eastAsia" w:ascii="仿宋" w:hAnsi="仿宋" w:eastAsia="仿宋" w:cs="仿宋_GB2312"/>
          <w:color w:val="000000" w:themeColor="text1"/>
          <w:kern w:val="0"/>
          <w:sz w:val="32"/>
          <w:szCs w:val="32"/>
          <w:shd w:val="clear" w:color="auto" w:fill="FFFFFF"/>
        </w:rPr>
        <w:t>严格按规定开齐开足课程</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创造条件开设地方课程和校本课程。有秩序安排教育教学工作，不随意停课，不组织学生参加商业性的庆典、演出活动。上好体育课、艺术课，保证学生每天有1小时的体育活动时间。引导学生自主、合作、探究学习，注重培养学生的独立思考能力、创新能力和实践能力，发展学生的个性特长。建立科学的学校评价制度</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评价学生，立足于促进学生的全面发展。健全校本教研制度</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研究教育教学中的重点、难点问题，促进教育质量的提高。</w:t>
      </w:r>
    </w:p>
    <w:p>
      <w:pPr>
        <w:ind w:firstLine="640" w:firstLineChars="200"/>
        <w:rPr>
          <w:rFonts w:hint="eastAsia" w:ascii="仿宋" w:hAnsi="仿宋" w:eastAsia="仿宋" w:cs="仿宋_GB2312"/>
          <w:color w:val="000000" w:themeColor="text1"/>
          <w:kern w:val="0"/>
          <w:sz w:val="32"/>
          <w:szCs w:val="32"/>
          <w:shd w:val="clear" w:color="auto" w:fill="FFFFFF"/>
        </w:rPr>
      </w:pPr>
      <w:r>
        <w:rPr>
          <w:rFonts w:ascii="仿宋" w:hAnsi="仿宋" w:eastAsia="仿宋" w:cs="仿宋_GB2312"/>
          <w:bCs/>
          <w:color w:val="000000" w:themeColor="text1"/>
          <w:sz w:val="32"/>
          <w:szCs w:val="32"/>
          <w:shd w:val="clear" w:color="auto" w:fill="FFFFFF"/>
        </w:rPr>
        <w:t>安全管理</w:t>
      </w:r>
      <w:r>
        <w:rPr>
          <w:rFonts w:hint="eastAsia" w:ascii="仿宋" w:hAnsi="仿宋" w:eastAsia="仿宋" w:cs="仿宋_GB2312"/>
          <w:color w:val="000000" w:themeColor="text1"/>
          <w:kern w:val="0"/>
          <w:sz w:val="32"/>
          <w:szCs w:val="32"/>
          <w:shd w:val="clear" w:color="auto" w:fill="FFFFFF"/>
        </w:rPr>
        <w:t>建立健全安全管理制度</w:t>
      </w:r>
      <w:r>
        <w:rPr>
          <w:rFonts w:hint="eastAsia" w:ascii="仿宋" w:hAnsi="仿宋" w:eastAsia="仿宋" w:cs="仿宋_GB2312"/>
          <w:color w:val="000000" w:themeColor="text1"/>
          <w:kern w:val="0"/>
          <w:sz w:val="32"/>
          <w:szCs w:val="32"/>
          <w:shd w:val="clear" w:color="auto" w:fill="FFFFFF"/>
          <w:lang w:eastAsia="zh-CN"/>
        </w:rPr>
        <w:t>，对学校安全保卫人员定期培训学习，</w:t>
      </w:r>
      <w:r>
        <w:rPr>
          <w:rFonts w:hint="eastAsia" w:ascii="仿宋" w:hAnsi="仿宋" w:eastAsia="仿宋" w:cs="仿宋_GB2312"/>
          <w:color w:val="000000" w:themeColor="text1"/>
          <w:kern w:val="0"/>
          <w:sz w:val="32"/>
          <w:szCs w:val="32"/>
          <w:shd w:val="clear" w:color="auto" w:fill="FFFFFF"/>
        </w:rPr>
        <w:t>及时</w:t>
      </w:r>
      <w:r>
        <w:rPr>
          <w:rFonts w:hint="eastAsia" w:ascii="仿宋" w:hAnsi="仿宋" w:eastAsia="仿宋" w:cs="仿宋_GB2312"/>
          <w:color w:val="000000" w:themeColor="text1"/>
          <w:kern w:val="0"/>
          <w:sz w:val="32"/>
          <w:szCs w:val="32"/>
          <w:shd w:val="clear" w:color="auto" w:fill="FFFFFF"/>
          <w:lang w:eastAsia="zh-CN"/>
        </w:rPr>
        <w:t>整治学校各项安全</w:t>
      </w:r>
      <w:r>
        <w:rPr>
          <w:rFonts w:hint="eastAsia" w:ascii="仿宋" w:hAnsi="仿宋" w:eastAsia="仿宋" w:cs="仿宋_GB2312"/>
          <w:color w:val="000000" w:themeColor="text1"/>
          <w:kern w:val="0"/>
          <w:sz w:val="32"/>
          <w:szCs w:val="32"/>
          <w:shd w:val="clear" w:color="auto" w:fill="FFFFFF"/>
        </w:rPr>
        <w:t>隐患，预防发生事故</w:t>
      </w:r>
      <w:r>
        <w:rPr>
          <w:rFonts w:hint="eastAsia" w:ascii="仿宋" w:hAnsi="仿宋" w:eastAsia="仿宋" w:cs="仿宋_GB2312"/>
          <w:color w:val="000000" w:themeColor="text1"/>
          <w:kern w:val="0"/>
          <w:sz w:val="32"/>
          <w:szCs w:val="32"/>
          <w:shd w:val="clear" w:color="auto" w:fill="FFFFFF"/>
          <w:lang w:eastAsia="zh-CN"/>
        </w:rPr>
        <w:t>发生</w:t>
      </w:r>
      <w:r>
        <w:rPr>
          <w:rFonts w:hint="eastAsia" w:ascii="仿宋" w:hAnsi="仿宋" w:eastAsia="仿宋" w:cs="仿宋_GB2312"/>
          <w:color w:val="000000" w:themeColor="text1"/>
          <w:kern w:val="0"/>
          <w:sz w:val="32"/>
          <w:szCs w:val="32"/>
          <w:shd w:val="clear" w:color="auto" w:fill="FFFFFF"/>
        </w:rPr>
        <w:t>。建立校园突发事件预警机制，落实各项应急措施。加强安全教育，增强师生的安全防范意识和自护自救能力。定期对校舍、设施进行安全检查，防火、防盗、防触电、防滋扰、防中毒、防意外伤害等措施落实到位。加强门卫管理，禁止无关人员和校外机动车辆进入校园。组织学生户外活动有安全</w:t>
      </w:r>
      <w:r>
        <w:rPr>
          <w:rFonts w:hint="eastAsia" w:ascii="仿宋" w:hAnsi="仿宋" w:eastAsia="仿宋" w:cs="仿宋_GB2312"/>
          <w:color w:val="000000" w:themeColor="text1"/>
          <w:kern w:val="0"/>
          <w:sz w:val="32"/>
          <w:szCs w:val="32"/>
          <w:shd w:val="clear" w:color="auto" w:fill="FFFFFF"/>
          <w:lang w:eastAsia="zh-CN"/>
        </w:rPr>
        <w:t>应急</w:t>
      </w:r>
      <w:r>
        <w:rPr>
          <w:rFonts w:hint="eastAsia" w:ascii="仿宋" w:hAnsi="仿宋" w:eastAsia="仿宋" w:cs="仿宋_GB2312"/>
          <w:color w:val="000000" w:themeColor="text1"/>
          <w:kern w:val="0"/>
          <w:sz w:val="32"/>
          <w:szCs w:val="32"/>
          <w:shd w:val="clear" w:color="auto" w:fill="FFFFFF"/>
        </w:rPr>
        <w:t>措施</w:t>
      </w:r>
      <w:r>
        <w:rPr>
          <w:rFonts w:hint="eastAsia" w:ascii="仿宋" w:hAnsi="仿宋" w:eastAsia="仿宋" w:cs="仿宋_GB2312"/>
          <w:color w:val="000000" w:themeColor="text1"/>
          <w:kern w:val="0"/>
          <w:sz w:val="32"/>
          <w:szCs w:val="32"/>
          <w:shd w:val="clear" w:color="auto" w:fill="FFFFFF"/>
          <w:lang w:eastAsia="zh-CN"/>
        </w:rPr>
        <w:t>，并安排专人负责。</w:t>
      </w:r>
    </w:p>
    <w:p>
      <w:pPr>
        <w:ind w:firstLine="640" w:firstLineChars="200"/>
        <w:rPr>
          <w:rFonts w:hint="eastAsia" w:ascii="仿宋" w:hAnsi="仿宋" w:eastAsia="仿宋" w:cs="仿宋_GB2312"/>
          <w:bCs/>
          <w:color w:val="000000" w:themeColor="text1"/>
          <w:kern w:val="0"/>
          <w:sz w:val="32"/>
          <w:szCs w:val="32"/>
          <w:shd w:val="clear" w:color="auto" w:fill="FFFFFF"/>
        </w:rPr>
      </w:pPr>
      <w:r>
        <w:rPr>
          <w:rFonts w:ascii="仿宋" w:hAnsi="仿宋" w:eastAsia="仿宋" w:cs="仿宋_GB2312"/>
          <w:bCs/>
          <w:color w:val="000000" w:themeColor="text1"/>
          <w:sz w:val="32"/>
          <w:szCs w:val="32"/>
          <w:shd w:val="clear" w:color="auto" w:fill="FFFFFF"/>
        </w:rPr>
        <w:t>校园管理</w:t>
      </w:r>
      <w:r>
        <w:rPr>
          <w:rFonts w:hint="eastAsia" w:ascii="仿宋" w:hAnsi="仿宋" w:eastAsia="仿宋" w:cs="仿宋_GB2312"/>
          <w:bCs/>
          <w:color w:val="000000" w:themeColor="text1"/>
          <w:kern w:val="0"/>
          <w:sz w:val="32"/>
          <w:szCs w:val="32"/>
          <w:shd w:val="clear" w:color="auto" w:fill="FFFFFF"/>
        </w:rPr>
        <w:t>建设平安、文明、和谐校园。优化校园环境，力求净化、绿化、美化、人文化。校内车辆停放整齐，地面无杂物，墙面无污损。环境布置富有文化内涵，体现教育功能。</w:t>
      </w:r>
    </w:p>
    <w:p>
      <w:pPr>
        <w:ind w:firstLine="640" w:firstLineChars="200"/>
        <w:rPr>
          <w:rFonts w:hint="eastAsia" w:ascii="仿宋" w:hAnsi="仿宋" w:eastAsia="仿宋" w:cs="仿宋_GB2312"/>
          <w:color w:val="000000" w:themeColor="text1"/>
          <w:kern w:val="0"/>
          <w:sz w:val="32"/>
          <w:szCs w:val="32"/>
          <w:shd w:val="clear" w:color="auto" w:fill="FFFFFF"/>
        </w:rPr>
      </w:pPr>
      <w:r>
        <w:rPr>
          <w:rFonts w:ascii="仿宋" w:hAnsi="仿宋" w:eastAsia="仿宋" w:cs="仿宋_GB2312"/>
          <w:bCs/>
          <w:color w:val="000000" w:themeColor="text1"/>
          <w:sz w:val="32"/>
          <w:szCs w:val="32"/>
          <w:shd w:val="clear" w:color="auto" w:fill="FFFFFF"/>
        </w:rPr>
        <w:t>后勤管理</w:t>
      </w:r>
      <w:r>
        <w:rPr>
          <w:rFonts w:hint="eastAsia" w:ascii="仿宋" w:hAnsi="仿宋" w:eastAsia="仿宋" w:cs="仿宋_GB2312"/>
          <w:color w:val="000000" w:themeColor="text1"/>
          <w:kern w:val="0"/>
          <w:sz w:val="32"/>
          <w:szCs w:val="32"/>
          <w:shd w:val="clear" w:color="auto" w:fill="FFFFFF"/>
        </w:rPr>
        <w:t>坚持服务育人、管理育人。制订食堂卫生制度和采购验收制度，确保食品卫生安全；建立学生宿舍值日制度，保证整洁卫生；建立宿舍管理制度，坚持夜间值班、巡查；建立发生群体性传染病、食物中毒应急制度，及时采取隔离、治疗措施。建立校舍定期检查、维修制度，及时消除危房。图书、实验仪器、音体美器材、计算机设备等分类登记造册，定期清查、检修、维护。坚持勤俭办学，反对铺张浪费。</w:t>
      </w:r>
    </w:p>
    <w:p>
      <w:pPr>
        <w:ind w:firstLine="640" w:firstLineChars="200"/>
        <w:jc w:val="left"/>
        <w:rPr>
          <w:rFonts w:hint="eastAsia" w:ascii="仿宋" w:hAnsi="仿宋" w:eastAsia="仿宋" w:cs="仿宋_GB2312"/>
          <w:bCs/>
          <w:color w:val="000000" w:themeColor="text1"/>
          <w:sz w:val="32"/>
          <w:szCs w:val="32"/>
          <w:shd w:val="clear" w:color="auto" w:fill="FFFFFF"/>
        </w:rPr>
      </w:pPr>
      <w:r>
        <w:rPr>
          <w:rFonts w:hint="eastAsia" w:ascii="仿宋" w:hAnsi="仿宋" w:eastAsia="仿宋" w:cs="仿宋_GB2312"/>
          <w:color w:val="000000" w:themeColor="text1"/>
          <w:kern w:val="0"/>
          <w:sz w:val="32"/>
          <w:szCs w:val="32"/>
          <w:shd w:val="clear" w:color="auto" w:fill="FFFFFF"/>
        </w:rPr>
        <w:t xml:space="preserve"> 档</w:t>
      </w:r>
      <w:r>
        <w:rPr>
          <w:rFonts w:ascii="仿宋" w:hAnsi="仿宋" w:eastAsia="仿宋" w:cs="仿宋_GB2312"/>
          <w:bCs/>
          <w:color w:val="000000" w:themeColor="text1"/>
          <w:sz w:val="32"/>
          <w:szCs w:val="32"/>
          <w:shd w:val="clear" w:color="auto" w:fill="FFFFFF"/>
        </w:rPr>
        <w:t>案管理建有档案资料室，健全档案管理制度。建立学校行政、教育教学、教师业务、学生学籍、师生健康、人事、财务、固定资产、荣誉实物等各类档案，保管好、使用好档案资料</w:t>
      </w:r>
      <w:bookmarkStart w:id="0" w:name="sub4037599_9"/>
      <w:bookmarkEnd w:id="0"/>
      <w:bookmarkStart w:id="1" w:name="附件：中小学校园管理等十项基本管理制度"/>
      <w:bookmarkEnd w:id="1"/>
      <w:bookmarkStart w:id="2" w:name="9"/>
      <w:bookmarkEnd w:id="2"/>
      <w:r>
        <w:rPr>
          <w:rFonts w:ascii="仿宋" w:hAnsi="仿宋" w:eastAsia="仿宋" w:cs="仿宋_GB2312"/>
          <w:bCs/>
          <w:color w:val="000000" w:themeColor="text1"/>
          <w:sz w:val="32"/>
          <w:szCs w:val="32"/>
          <w:shd w:val="clear" w:color="auto" w:fill="FFFFFF"/>
        </w:rPr>
        <w:t>，财务管理贯彻执行中国共产党和国家的财政经济方针、</w:t>
      </w:r>
      <w:r>
        <w:fldChar w:fldCharType="begin"/>
      </w:r>
      <w:r>
        <w:instrText xml:space="preserve"> HYPERLINK "https://baike.baidu.com/item/%E6%94%BF%E7%AD%96/5575422" \t "https://baike.baidu.com/item/%E5%AD%A6%E6%A0%A1%E8%B4%A2%E5%8A%A1%E7%AE%A1%E7%90%86/_blank" </w:instrText>
      </w:r>
      <w:r>
        <w:fldChar w:fldCharType="separate"/>
      </w:r>
      <w:r>
        <w:rPr>
          <w:rStyle w:val="10"/>
          <w:rFonts w:ascii="仿宋" w:hAnsi="仿宋" w:eastAsia="仿宋" w:cs="仿宋_GB2312"/>
          <w:bCs/>
          <w:color w:val="000000" w:themeColor="text1"/>
          <w:sz w:val="32"/>
          <w:szCs w:val="32"/>
          <w:shd w:val="clear" w:color="auto" w:fill="FFFFFF"/>
        </w:rPr>
        <w:t>政策</w:t>
      </w:r>
      <w:r>
        <w:rPr>
          <w:rStyle w:val="10"/>
          <w:rFonts w:ascii="仿宋" w:hAnsi="仿宋" w:eastAsia="仿宋" w:cs="仿宋_GB2312"/>
          <w:bCs/>
          <w:color w:val="000000" w:themeColor="text1"/>
          <w:sz w:val="32"/>
          <w:szCs w:val="32"/>
          <w:shd w:val="clear" w:color="auto" w:fill="FFFFFF"/>
        </w:rPr>
        <w:fldChar w:fldCharType="end"/>
      </w:r>
      <w:r>
        <w:rPr>
          <w:rFonts w:ascii="仿宋" w:hAnsi="仿宋" w:eastAsia="仿宋" w:cs="仿宋_GB2312"/>
          <w:bCs/>
          <w:color w:val="000000" w:themeColor="text1"/>
          <w:sz w:val="32"/>
          <w:szCs w:val="32"/>
          <w:shd w:val="clear" w:color="auto" w:fill="FFFFFF"/>
        </w:rPr>
        <w:t>、法令，维护财政经济纪律，保护</w:t>
      </w:r>
      <w:r>
        <w:fldChar w:fldCharType="begin"/>
      </w:r>
      <w:r>
        <w:instrText xml:space="preserve"> HYPERLINK "https://baike.baidu.com/item/%E5%85%AC%E5%85%B1%E8%B4%A2%E4%BA%A7" \t "https://baike.baidu.com/item/%E5%AD%A6%E6%A0%A1%E8%B4%A2%E5%8A%A1%E7%AE%A1%E7%90%86/_blank" </w:instrText>
      </w:r>
      <w:r>
        <w:fldChar w:fldCharType="separate"/>
      </w:r>
      <w:r>
        <w:rPr>
          <w:rStyle w:val="10"/>
          <w:rFonts w:ascii="仿宋" w:hAnsi="仿宋" w:eastAsia="仿宋" w:cs="仿宋_GB2312"/>
          <w:bCs/>
          <w:color w:val="000000" w:themeColor="text1"/>
          <w:sz w:val="32"/>
          <w:szCs w:val="32"/>
          <w:shd w:val="clear" w:color="auto" w:fill="FFFFFF"/>
        </w:rPr>
        <w:t>公共财产</w:t>
      </w:r>
      <w:r>
        <w:rPr>
          <w:rStyle w:val="10"/>
          <w:rFonts w:ascii="仿宋" w:hAnsi="仿宋" w:eastAsia="仿宋" w:cs="仿宋_GB2312"/>
          <w:bCs/>
          <w:color w:val="000000" w:themeColor="text1"/>
          <w:sz w:val="32"/>
          <w:szCs w:val="32"/>
          <w:shd w:val="clear" w:color="auto" w:fill="FFFFFF"/>
        </w:rPr>
        <w:fldChar w:fldCharType="end"/>
      </w:r>
      <w:r>
        <w:rPr>
          <w:rFonts w:ascii="仿宋" w:hAnsi="仿宋" w:eastAsia="仿宋" w:cs="仿宋_GB2312"/>
          <w:bCs/>
          <w:color w:val="000000" w:themeColor="text1"/>
          <w:sz w:val="32"/>
          <w:szCs w:val="32"/>
          <w:shd w:val="clear" w:color="auto" w:fill="FFFFFF"/>
        </w:rPr>
        <w:t>的安全。根据上级规定和学校具体情况，编制学校年度预算或计划，年终作出</w:t>
      </w:r>
      <w:r>
        <w:rPr>
          <w:rFonts w:hint="eastAsia" w:ascii="仿宋" w:hAnsi="仿宋" w:eastAsia="仿宋" w:cs="仿宋_GB2312"/>
          <w:bCs/>
          <w:color w:val="000000" w:themeColor="text1"/>
          <w:sz w:val="32"/>
          <w:szCs w:val="32"/>
          <w:shd w:val="clear" w:color="auto" w:fill="FFFFFF"/>
          <w:lang w:eastAsia="zh-CN"/>
        </w:rPr>
        <w:t>结</w:t>
      </w:r>
      <w:r>
        <w:rPr>
          <w:rFonts w:ascii="仿宋" w:hAnsi="仿宋" w:eastAsia="仿宋" w:cs="仿宋_GB2312"/>
          <w:bCs/>
          <w:color w:val="000000" w:themeColor="text1"/>
          <w:sz w:val="32"/>
          <w:szCs w:val="32"/>
          <w:shd w:val="clear" w:color="auto" w:fill="FFFFFF"/>
        </w:rPr>
        <w:t>算。拟定学校的财务规章制度</w:t>
      </w:r>
      <w:r>
        <w:rPr>
          <w:rFonts w:hint="eastAsia" w:ascii="仿宋" w:hAnsi="仿宋" w:eastAsia="仿宋" w:cs="仿宋_GB2312"/>
          <w:bCs/>
          <w:color w:val="000000" w:themeColor="text1"/>
          <w:sz w:val="32"/>
          <w:szCs w:val="32"/>
          <w:shd w:val="clear" w:color="auto" w:fill="FFFFFF"/>
          <w:lang w:eastAsia="zh-CN"/>
        </w:rPr>
        <w:t>，</w:t>
      </w:r>
      <w:r>
        <w:rPr>
          <w:rFonts w:ascii="仿宋" w:hAnsi="仿宋" w:eastAsia="仿宋" w:cs="仿宋_GB2312"/>
          <w:bCs/>
          <w:color w:val="000000" w:themeColor="text1"/>
          <w:sz w:val="32"/>
          <w:szCs w:val="32"/>
          <w:shd w:val="clear" w:color="auto" w:fill="FFFFFF"/>
        </w:rPr>
        <w:t>监督、检查学校各项资金、财产的管理和计划执行情况。</w:t>
      </w:r>
      <w:r>
        <w:rPr>
          <w:rFonts w:hint="eastAsia" w:ascii="仿宋" w:hAnsi="仿宋" w:eastAsia="仿宋" w:cs="仿宋_GB2312"/>
          <w:color w:val="000000" w:themeColor="text1"/>
          <w:kern w:val="0"/>
          <w:sz w:val="32"/>
          <w:szCs w:val="32"/>
          <w:shd w:val="clear" w:color="auto" w:fill="FFFFFF"/>
        </w:rPr>
        <w:t>建立健全学校财产管理制度</w:t>
      </w:r>
      <w:r>
        <w:rPr>
          <w:rFonts w:hint="eastAsia" w:ascii="仿宋" w:hAnsi="仿宋" w:eastAsia="仿宋" w:cs="仿宋_GB2312"/>
          <w:color w:val="000000" w:themeColor="text1"/>
          <w:kern w:val="0"/>
          <w:sz w:val="32"/>
          <w:szCs w:val="32"/>
          <w:shd w:val="clear" w:color="auto" w:fill="FFFFFF"/>
          <w:lang w:eastAsia="zh-CN"/>
        </w:rPr>
        <w:t>，</w:t>
      </w:r>
      <w:r>
        <w:rPr>
          <w:rFonts w:hint="eastAsia" w:ascii="仿宋" w:hAnsi="仿宋" w:eastAsia="仿宋" w:cs="仿宋_GB2312"/>
          <w:color w:val="000000" w:themeColor="text1"/>
          <w:kern w:val="0"/>
          <w:sz w:val="32"/>
          <w:szCs w:val="32"/>
          <w:shd w:val="clear" w:color="auto" w:fill="FFFFFF"/>
        </w:rPr>
        <w:t>民主理财，财务公开</w:t>
      </w:r>
      <w:r>
        <w:rPr>
          <w:rFonts w:hint="eastAsia" w:ascii="仿宋" w:hAnsi="仿宋" w:eastAsia="仿宋" w:cs="仿宋_GB2312"/>
          <w:color w:val="000000" w:themeColor="text1"/>
          <w:kern w:val="0"/>
          <w:sz w:val="32"/>
          <w:szCs w:val="32"/>
          <w:shd w:val="clear" w:color="auto" w:fill="FFFFFF"/>
          <w:lang w:eastAsia="zh-CN"/>
        </w:rPr>
        <w:t>。</w:t>
      </w:r>
      <w:r>
        <w:rPr>
          <w:rFonts w:ascii="仿宋" w:hAnsi="仿宋" w:eastAsia="仿宋" w:cs="仿宋_GB2312"/>
          <w:bCs/>
          <w:color w:val="000000" w:themeColor="text1"/>
          <w:sz w:val="32"/>
          <w:szCs w:val="32"/>
          <w:shd w:val="clear" w:color="auto" w:fill="FFFFFF"/>
        </w:rPr>
        <w:t>做好记帐、算帐、</w:t>
      </w:r>
      <w:r>
        <w:fldChar w:fldCharType="begin"/>
      </w:r>
      <w:r>
        <w:instrText xml:space="preserve"> HYPERLINK "https://baike.baidu.com/item/%E6%8A%A5%E5%B8%90" \t "https://baike.baidu.com/item/%E5%AD%A6%E6%A0%A1%E8%B4%A2%E5%8A%A1%E7%AE%A1%E7%90%86/_blank" </w:instrText>
      </w:r>
      <w:r>
        <w:fldChar w:fldCharType="separate"/>
      </w:r>
      <w:r>
        <w:rPr>
          <w:rStyle w:val="10"/>
          <w:rFonts w:ascii="仿宋" w:hAnsi="仿宋" w:eastAsia="仿宋" w:cs="仿宋_GB2312"/>
          <w:bCs/>
          <w:color w:val="000000" w:themeColor="text1"/>
          <w:sz w:val="32"/>
          <w:szCs w:val="32"/>
          <w:shd w:val="clear" w:color="auto" w:fill="FFFFFF"/>
        </w:rPr>
        <w:t>报帐</w:t>
      </w:r>
      <w:r>
        <w:rPr>
          <w:rStyle w:val="10"/>
          <w:rFonts w:ascii="仿宋" w:hAnsi="仿宋" w:eastAsia="仿宋" w:cs="仿宋_GB2312"/>
          <w:bCs/>
          <w:color w:val="000000" w:themeColor="text1"/>
          <w:sz w:val="32"/>
          <w:szCs w:val="32"/>
          <w:shd w:val="clear" w:color="auto" w:fill="FFFFFF"/>
        </w:rPr>
        <w:fldChar w:fldCharType="end"/>
      </w:r>
      <w:r>
        <w:rPr>
          <w:rFonts w:ascii="仿宋" w:hAnsi="仿宋" w:eastAsia="仿宋" w:cs="仿宋_GB2312"/>
          <w:bCs/>
          <w:color w:val="000000" w:themeColor="text1"/>
          <w:sz w:val="32"/>
          <w:szCs w:val="32"/>
          <w:shd w:val="clear" w:color="auto" w:fill="FFFFFF"/>
        </w:rPr>
        <w:t>工作，调查研究、分析、检查学校资金使用效果。</w:t>
      </w:r>
    </w:p>
    <w:p>
      <w:pPr>
        <w:ind w:firstLine="643" w:firstLineChars="200"/>
        <w:jc w:val="left"/>
        <w:rPr>
          <w:rFonts w:hint="eastAsia" w:ascii="仿宋" w:hAnsi="仿宋" w:eastAsia="仿宋" w:cs="仿宋_GB2312"/>
          <w:b/>
          <w:color w:val="000000" w:themeColor="text1"/>
          <w:kern w:val="0"/>
          <w:sz w:val="32"/>
          <w:szCs w:val="32"/>
          <w:shd w:val="clear" w:color="auto" w:fill="FFFFFF"/>
        </w:rPr>
      </w:pPr>
      <w:r>
        <w:rPr>
          <w:rFonts w:hint="eastAsia" w:ascii="仿宋" w:hAnsi="仿宋" w:eastAsia="仿宋" w:cs="仿宋_GB2312"/>
          <w:b/>
          <w:color w:val="000000" w:themeColor="text1"/>
          <w:kern w:val="0"/>
          <w:sz w:val="32"/>
          <w:szCs w:val="32"/>
          <w:shd w:val="clear" w:color="auto" w:fill="FFFFFF"/>
        </w:rPr>
        <w:t>3.5德育工作情况</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德育是学校实施素质教育的重要组成部分。它贯穿于学校教育</w:t>
      </w:r>
      <w:r>
        <w:fldChar w:fldCharType="begin"/>
      </w:r>
      <w:r>
        <w:instrText xml:space="preserve"> HYPERLINK "http://www.gkstk.com/article/jiaoxuefansi.htm" \o "教学" </w:instrText>
      </w:r>
      <w:r>
        <w:fldChar w:fldCharType="separate"/>
      </w:r>
      <w:r>
        <w:rPr>
          <w:rStyle w:val="10"/>
          <w:rFonts w:hint="eastAsia" w:ascii="仿宋" w:hAnsi="仿宋" w:eastAsia="仿宋" w:cs="仿宋_GB2312"/>
          <w:color w:val="000000" w:themeColor="text1"/>
          <w:sz w:val="32"/>
          <w:szCs w:val="32"/>
        </w:rPr>
        <w:t>教学</w:t>
      </w:r>
      <w:r>
        <w:rPr>
          <w:rStyle w:val="10"/>
          <w:rFonts w:hint="eastAsia" w:ascii="仿宋" w:hAnsi="仿宋" w:eastAsia="仿宋" w:cs="仿宋_GB2312"/>
          <w:color w:val="000000" w:themeColor="text1"/>
          <w:sz w:val="32"/>
          <w:szCs w:val="32"/>
        </w:rPr>
        <w:fldChar w:fldCharType="end"/>
      </w:r>
      <w:r>
        <w:rPr>
          <w:rFonts w:hint="eastAsia" w:ascii="仿宋" w:hAnsi="仿宋" w:eastAsia="仿宋" w:cs="仿宋_GB2312"/>
          <w:color w:val="000000" w:themeColor="text1"/>
          <w:sz w:val="32"/>
          <w:szCs w:val="32"/>
        </w:rPr>
        <w:t>的全过程和学生日常生活的各个方面，渗透在智育、体育、美育和劳动教育中。</w:t>
      </w:r>
    </w:p>
    <w:p>
      <w:pPr>
        <w:pStyle w:val="6"/>
        <w:spacing w:before="0" w:beforeAutospacing="0" w:after="210" w:afterAutospacing="0" w:line="315" w:lineRule="atLeas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加强理论学习和德育实践研究，组织师德理论学习。本年度，我们利用教师政治学习的机会，组织教师学习了《教师法》、《未成年人保护法》和市</w:t>
      </w:r>
      <w:r>
        <w:rPr>
          <w:rFonts w:hint="eastAsia" w:ascii="仿宋" w:hAnsi="仿宋" w:eastAsia="仿宋" w:cs="仿宋_GB2312"/>
          <w:color w:val="000000" w:themeColor="text1"/>
          <w:sz w:val="32"/>
          <w:szCs w:val="32"/>
          <w:lang w:eastAsia="zh-CN"/>
        </w:rPr>
        <w:t>、区教育主管部门</w:t>
      </w:r>
      <w:r>
        <w:rPr>
          <w:rFonts w:hint="eastAsia" w:ascii="仿宋" w:hAnsi="仿宋" w:eastAsia="仿宋" w:cs="仿宋_GB2312"/>
          <w:color w:val="000000" w:themeColor="text1"/>
          <w:sz w:val="32"/>
          <w:szCs w:val="32"/>
        </w:rPr>
        <w:t>有关师德教育和建设的文件资料等，以教育行评为契机，有效地加强了师德建设。开展德育科研活动。我们以新课程理念努力转变班主任的角色，并通过小课题研究、理论学习、案例撰写等形式开展德育科研活动。每位教师都结合自己的教育教学实践，撰写学习心得体会，提高教师的德育理论水平。</w:t>
      </w:r>
    </w:p>
    <w:p>
      <w:pPr>
        <w:widowControl/>
        <w:spacing w:line="300" w:lineRule="atLeast"/>
        <w:ind w:firstLine="640" w:firstLineChars="200"/>
        <w:jc w:val="left"/>
        <w:rPr>
          <w:rFonts w:ascii="仿宋" w:hAnsi="仿宋" w:eastAsia="仿宋" w:cs="宋体"/>
          <w:color w:val="1E1E1E"/>
          <w:kern w:val="0"/>
          <w:sz w:val="32"/>
          <w:szCs w:val="32"/>
        </w:rPr>
      </w:pPr>
      <w:r>
        <w:rPr>
          <w:rFonts w:hint="eastAsia" w:ascii="仿宋" w:hAnsi="仿宋" w:eastAsia="仿宋" w:cs="仿宋_GB2312"/>
          <w:color w:val="000000" w:themeColor="text1"/>
          <w:sz w:val="32"/>
          <w:szCs w:val="32"/>
        </w:rPr>
        <w:t>开展多种形式的主题教育活动，爱国主义教育，抓好每周一的升旗仪式和国旗下讲话，激发学生爱国热情，树立正确的国家意识，培养爱国主义意识。</w:t>
      </w:r>
      <w:r>
        <w:rPr>
          <w:rFonts w:hint="eastAsia" w:ascii="仿宋" w:hAnsi="仿宋" w:eastAsia="仿宋" w:cs="宋体"/>
          <w:color w:val="1E1E1E"/>
          <w:kern w:val="0"/>
          <w:sz w:val="28"/>
          <w:szCs w:val="28"/>
        </w:rPr>
        <w:t>学校把德育课课程建设与</w:t>
      </w:r>
      <w:r>
        <w:rPr>
          <w:rFonts w:hint="eastAsia" w:ascii="仿宋" w:hAnsi="仿宋" w:eastAsia="仿宋" w:cs="宋体"/>
          <w:color w:val="1E1E1E"/>
          <w:kern w:val="0"/>
          <w:sz w:val="32"/>
          <w:szCs w:val="32"/>
        </w:rPr>
        <w:t>学生常规管理紧密结合，以德育实践活动为载体，强化制度管理，一直以来，我校德育工作遵循“以人为本、立足发展、贴近实际、注重实效”的教育理念，强化制度管理，努力把德育工作做“实”、做“活”、做“亮”，使我校德育工作焕发出生命的活力。　　</w:t>
      </w:r>
      <w:r>
        <w:rPr>
          <w:rFonts w:hint="eastAsia" w:ascii="宋体" w:hAnsi="宋体" w:eastAsia="仿宋" w:cs="宋体"/>
          <w:color w:val="1E1E1E"/>
          <w:kern w:val="0"/>
          <w:sz w:val="32"/>
          <w:szCs w:val="32"/>
        </w:rPr>
        <w:t>   </w:t>
      </w:r>
    </w:p>
    <w:p>
      <w:pPr>
        <w:widowControl/>
        <w:spacing w:line="300" w:lineRule="atLeast"/>
        <w:ind w:firstLine="640" w:firstLineChars="200"/>
        <w:jc w:val="left"/>
        <w:rPr>
          <w:rFonts w:ascii="仿宋" w:hAnsi="仿宋" w:eastAsia="仿宋" w:cs="宋体"/>
          <w:color w:val="1E1E1E"/>
          <w:kern w:val="0"/>
          <w:sz w:val="32"/>
          <w:szCs w:val="32"/>
        </w:rPr>
      </w:pPr>
      <w:r>
        <w:rPr>
          <w:rFonts w:hint="eastAsia" w:ascii="仿宋" w:hAnsi="仿宋" w:eastAsia="仿宋" w:cs="宋体"/>
          <w:color w:val="1E1E1E"/>
          <w:kern w:val="0"/>
          <w:sz w:val="32"/>
          <w:szCs w:val="32"/>
        </w:rPr>
        <w:t>工作中，我校以“依靠人、为了人、服务人”为基本出发点，尊重学生、关爱学生、服务学生，发现和培养学生的兴趣和特长，塑造学生大爱、和谐的心灵。以尊重学生的个性特点为指导思想，遵循青少年个性发展的特点，着眼于学生养成良好的思想品德和行为习惯。用个性鲜明的“向不文明行为说再见”“绿化教室”“周一主题班会”“主题黑板报”等活动组成了“一班一思路”特色文化，激发和引导着学生们自我发展。</w:t>
      </w:r>
    </w:p>
    <w:p>
      <w:pPr>
        <w:widowControl/>
        <w:spacing w:line="300" w:lineRule="atLeast"/>
        <w:ind w:firstLine="640" w:firstLineChars="200"/>
        <w:jc w:val="left"/>
        <w:rPr>
          <w:rFonts w:ascii="仿宋" w:hAnsi="仿宋" w:eastAsia="仿宋" w:cs="宋体"/>
          <w:color w:val="1E1E1E"/>
          <w:kern w:val="0"/>
          <w:sz w:val="32"/>
          <w:szCs w:val="32"/>
        </w:rPr>
      </w:pPr>
      <w:r>
        <w:rPr>
          <w:rFonts w:hint="eastAsia" w:ascii="仿宋" w:hAnsi="仿宋" w:eastAsia="仿宋" w:cs="宋体"/>
          <w:color w:val="1E1E1E"/>
          <w:kern w:val="0"/>
          <w:sz w:val="32"/>
          <w:szCs w:val="32"/>
        </w:rPr>
        <w:t>学校积极开展各种社团活动，文体活动，开展校园歌手大赛，国庆晚会，12.9红歌比赛，校运动会等活动引领学生思想情操。校外开展物品捐赠、义务劳动、帮助老人、扶贫献爱心、参加防疾病防艾滋公益汇演、为贫困留守儿童做义工等，通过这些活动的开展，使学生们思想政治素质总体上向积极健康的方向发展，有较高的政治参与意识，把各种党团活动搞得有声有色。</w:t>
      </w:r>
      <w:r>
        <w:rPr>
          <w:rFonts w:hint="eastAsia" w:ascii="宋体" w:hAnsi="宋体" w:eastAsia="仿宋" w:cs="宋体"/>
          <w:color w:val="1E1E1E"/>
          <w:kern w:val="0"/>
          <w:sz w:val="32"/>
          <w:szCs w:val="32"/>
        </w:rPr>
        <w:t> </w:t>
      </w:r>
    </w:p>
    <w:p>
      <w:pPr>
        <w:pStyle w:val="6"/>
        <w:spacing w:before="0" w:beforeAutospacing="0" w:after="252" w:afterAutospacing="0" w:line="315" w:lineRule="atLeas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学校认真开展了关爱“留守学生”教育工作。切实加强家校联系为真正提高家校联系质量，本学期制定了家长学校各种制度并开展活动，还对班主任或其他任课老师提出一定的要求，使学校、家庭、社会联系更为紧密，构建立体的教育网络。</w:t>
      </w:r>
    </w:p>
    <w:p>
      <w:pPr>
        <w:pStyle w:val="6"/>
        <w:spacing w:before="0" w:beforeAutospacing="0" w:after="252" w:afterAutospacing="0" w:line="315" w:lineRule="atLeast"/>
        <w:ind w:firstLine="643" w:firstLineChars="200"/>
        <w:rPr>
          <w:rFonts w:ascii="仿宋" w:hAnsi="仿宋" w:eastAsia="仿宋" w:cs="仿宋_GB2312"/>
          <w:b/>
          <w:color w:val="000000" w:themeColor="text1"/>
          <w:sz w:val="32"/>
          <w:szCs w:val="32"/>
        </w:rPr>
      </w:pPr>
      <w:r>
        <w:rPr>
          <w:rFonts w:hint="eastAsia" w:ascii="仿宋" w:hAnsi="仿宋" w:eastAsia="仿宋" w:cs="仿宋_GB2312"/>
          <w:b/>
          <w:color w:val="000000" w:themeColor="text1"/>
          <w:sz w:val="32"/>
          <w:szCs w:val="32"/>
        </w:rPr>
        <w:t>3.6党建情况</w:t>
      </w:r>
    </w:p>
    <w:p>
      <w:pPr>
        <w:ind w:firstLine="601"/>
        <w:rPr>
          <w:rFonts w:ascii="仿宋" w:hAnsi="仿宋" w:eastAsia="仿宋" w:cs="仿宋_GB2312"/>
          <w:sz w:val="32"/>
          <w:szCs w:val="32"/>
        </w:rPr>
      </w:pPr>
      <w:r>
        <w:rPr>
          <w:rFonts w:hint="eastAsia" w:ascii="仿宋" w:hAnsi="仿宋" w:eastAsia="仿宋" w:cs="仿宋_GB2312"/>
          <w:sz w:val="32"/>
          <w:szCs w:val="32"/>
        </w:rPr>
        <w:t>2018年，学校党建工作以新时代党的建设要求为主线，以党的政治建设为统领，以“十九大精神”学习教育为重点，全面发挥校党委“推动发展，服务师生、凝聚人心，促进和谐”作用，为学校又好又快发展提供坚强有力的思想和组织保障。</w:t>
      </w:r>
    </w:p>
    <w:p>
      <w:pPr>
        <w:ind w:firstLine="601"/>
        <w:rPr>
          <w:rFonts w:ascii="仿宋" w:hAnsi="仿宋" w:eastAsia="仿宋" w:cs="仿宋_GB2312"/>
          <w:sz w:val="32"/>
          <w:szCs w:val="32"/>
        </w:rPr>
      </w:pPr>
      <w:bookmarkStart w:id="3" w:name="_Toc501297043"/>
      <w:r>
        <w:rPr>
          <w:rFonts w:hint="eastAsia" w:ascii="仿宋" w:hAnsi="仿宋" w:eastAsia="仿宋" w:cs="仿宋_GB2312"/>
          <w:sz w:val="32"/>
          <w:szCs w:val="32"/>
        </w:rPr>
        <w:t>夯实党的基础组织建设，增强基层党支部战斗堡垒作</w:t>
      </w:r>
      <w:r>
        <w:rPr>
          <w:rFonts w:hint="eastAsia" w:ascii="仿宋" w:hAnsi="仿宋" w:eastAsia="仿宋" w:cs="仿宋"/>
          <w:sz w:val="32"/>
          <w:szCs w:val="32"/>
        </w:rPr>
        <w:t>用</w:t>
      </w:r>
      <w:bookmarkEnd w:id="3"/>
      <w:r>
        <w:rPr>
          <w:rFonts w:hint="eastAsia" w:ascii="仿宋" w:hAnsi="仿宋" w:eastAsia="仿宋" w:cs="仿宋"/>
          <w:sz w:val="32"/>
          <w:szCs w:val="32"/>
        </w:rPr>
        <w:t>。</w:t>
      </w:r>
      <w:r>
        <w:rPr>
          <w:rFonts w:hint="eastAsia" w:ascii="仿宋" w:hAnsi="仿宋" w:eastAsia="仿宋" w:cs="仿宋_GB2312"/>
          <w:sz w:val="32"/>
          <w:szCs w:val="32"/>
        </w:rPr>
        <w:t>完成了2个党小组重组、换届工作。发展了2名预备党员，确定了1名发展对象，完成了6名党员的组织关系转出工作。</w:t>
      </w:r>
      <w:bookmarkStart w:id="4" w:name="_Toc501297044"/>
    </w:p>
    <w:p>
      <w:pPr>
        <w:ind w:firstLine="601"/>
        <w:rPr>
          <w:rFonts w:ascii="仿宋" w:hAnsi="仿宋" w:eastAsia="仿宋" w:cs="仿宋_GB2312"/>
          <w:sz w:val="32"/>
          <w:szCs w:val="32"/>
        </w:rPr>
      </w:pPr>
      <w:r>
        <w:rPr>
          <w:rFonts w:hint="eastAsia" w:ascii="仿宋" w:hAnsi="仿宋" w:eastAsia="仿宋" w:cs="仿宋_GB2312"/>
          <w:sz w:val="32"/>
          <w:szCs w:val="32"/>
        </w:rPr>
        <w:t>开展“标准化规范化党支部”工作，全面提升党支部的规范化建设水平，基层党组织的凝聚力和战斗力进一步加强。</w:t>
      </w:r>
    </w:p>
    <w:p>
      <w:pPr>
        <w:ind w:firstLine="601"/>
        <w:rPr>
          <w:rFonts w:ascii="仿宋" w:hAnsi="仿宋" w:eastAsia="仿宋" w:cs="仿宋_GB2312"/>
          <w:sz w:val="32"/>
          <w:szCs w:val="32"/>
        </w:rPr>
      </w:pPr>
      <w:r>
        <w:rPr>
          <w:rFonts w:hint="eastAsia" w:ascii="仿宋" w:hAnsi="仿宋" w:eastAsia="仿宋" w:cs="仿宋_GB2312"/>
          <w:sz w:val="32"/>
          <w:szCs w:val="32"/>
        </w:rPr>
        <w:t>根据《党费收缴工作细则（试行）》要求，精细核定党费标准，严格执行党费缴纳制度，进一步强化党员身份意识、责任意识。</w:t>
      </w:r>
    </w:p>
    <w:p>
      <w:pPr>
        <w:ind w:firstLine="601"/>
        <w:rPr>
          <w:rFonts w:ascii="仿宋" w:hAnsi="仿宋" w:eastAsia="仿宋" w:cs="仿宋_GB2312"/>
          <w:sz w:val="32"/>
          <w:szCs w:val="32"/>
        </w:rPr>
      </w:pPr>
      <w:r>
        <w:rPr>
          <w:rFonts w:hint="eastAsia" w:ascii="仿宋" w:hAnsi="仿宋" w:eastAsia="仿宋" w:cs="仿宋_GB2312"/>
          <w:sz w:val="32"/>
          <w:szCs w:val="32"/>
        </w:rPr>
        <w:t>坚持和完善“三会一课”制度，通过精心设计，做到“三会一课”时间、人员、内容、效果四到位。打造“程序规范、主题明显、载体灵活、效果明显”的主题党日活动，有效统一党员的思想和行动。始终把中心组学习作为一项重要的政治任务紧抓在手，坚持系统学习，做到全面理解，切实统一思想和行动，努力推动理论学习成果向实际工作有效转化。以“思想认识到位、会前准备到位、开展批评到位、整改落实到位”为标准，严格落实民主生活会制度。</w:t>
      </w:r>
    </w:p>
    <w:p>
      <w:pPr>
        <w:ind w:firstLine="601"/>
        <w:rPr>
          <w:rFonts w:ascii="仿宋" w:hAnsi="仿宋" w:eastAsia="仿宋" w:cs="仿宋_GB2312"/>
          <w:sz w:val="32"/>
          <w:szCs w:val="32"/>
        </w:rPr>
      </w:pPr>
      <w:r>
        <w:rPr>
          <w:rFonts w:hint="eastAsia" w:ascii="仿宋" w:hAnsi="仿宋" w:eastAsia="仿宋" w:cs="仿宋_GB2312"/>
          <w:sz w:val="32"/>
          <w:szCs w:val="32"/>
        </w:rPr>
        <w:t>加强十九大精神、全国教育大会精神的学习宣传，推进“两学一做”“大学习、大讨论、大调研”的常态化、制度化。</w:t>
      </w:r>
      <w:bookmarkEnd w:id="4"/>
      <w:r>
        <w:rPr>
          <w:rFonts w:hint="eastAsia" w:ascii="仿宋" w:hAnsi="仿宋" w:eastAsia="仿宋" w:cs="仿宋_GB2312"/>
          <w:sz w:val="32"/>
          <w:szCs w:val="32"/>
        </w:rPr>
        <w:t>举办“党的基础知识竞赛”、“互联网+党课”等活动，全校党员干部的思想和行动高度统一，十九大精神、全国教育大会精神的理论知识有效转化为新时代学校改革发展的助力。继续推进“我是党员-我在行动”活动，邀请不同领域的专家学者，聚焦当下时事热点，对广大党员进行深入系统的解读和宣讲，进一步推动理论联系实际落地生根。</w:t>
      </w:r>
    </w:p>
    <w:p>
      <w:pPr>
        <w:ind w:firstLine="601"/>
        <w:rPr>
          <w:rFonts w:ascii="仿宋" w:hAnsi="仿宋" w:eastAsia="仿宋" w:cs="仿宋_GB2312"/>
          <w:sz w:val="32"/>
          <w:szCs w:val="32"/>
        </w:rPr>
      </w:pPr>
      <w:bookmarkStart w:id="5" w:name="_Toc501297045"/>
      <w:r>
        <w:rPr>
          <w:rFonts w:hint="eastAsia" w:ascii="仿宋" w:hAnsi="仿宋" w:eastAsia="仿宋" w:cs="仿宋_GB2312"/>
          <w:sz w:val="32"/>
          <w:szCs w:val="32"/>
        </w:rPr>
        <w:t>探求思想政治工作抓手，将思想政治工作与学校教育教学管理工作融会贯通，做到日常，做到经常。搭建社会主义核心价值观培育团队，启动以明师德、铸师魂、树政德、谋发展的师生社会主义核心价值观培育工程。将思想政治工作与学校教育教学管理工作融会贯通，做到日常，做到经常。全力提升党员示范意识，创新方式，丰富载体</w:t>
      </w:r>
      <w:bookmarkEnd w:id="5"/>
      <w:r>
        <w:rPr>
          <w:rFonts w:hint="eastAsia" w:ascii="仿宋" w:hAnsi="仿宋" w:eastAsia="仿宋" w:cs="仿宋_GB2312"/>
          <w:sz w:val="32"/>
          <w:szCs w:val="32"/>
        </w:rPr>
        <w:t>。积极开展“共产党员先锋行动”，全面增强党员同志的特殊身份意识，立足本职，当先锋、做模范。组织党员同志参观张澜故居、罗瑞卿故居等红色革命基地，实地了解革命年代的光辉历程，广大党员的责任感和使命感显著增强。</w:t>
      </w:r>
    </w:p>
    <w:p>
      <w:pPr>
        <w:ind w:firstLine="601"/>
        <w:rPr>
          <w:rFonts w:ascii="仿宋" w:hAnsi="仿宋" w:eastAsia="仿宋" w:cs="仿宋_GB2312"/>
          <w:sz w:val="32"/>
          <w:szCs w:val="32"/>
        </w:rPr>
      </w:pPr>
      <w:bookmarkStart w:id="6" w:name="_Toc501297046"/>
      <w:r>
        <w:rPr>
          <w:rFonts w:hint="eastAsia" w:ascii="仿宋" w:hAnsi="仿宋" w:eastAsia="仿宋" w:cs="仿宋_GB2312"/>
          <w:sz w:val="32"/>
          <w:szCs w:val="32"/>
        </w:rPr>
        <w:t>充分发挥群团作用，开展丰富多彩活动，促进师生身心健康、快乐。</w:t>
      </w:r>
      <w:bookmarkEnd w:id="6"/>
      <w:r>
        <w:rPr>
          <w:rFonts w:hint="eastAsia" w:ascii="仿宋" w:hAnsi="仿宋" w:eastAsia="仿宋" w:cs="仿宋_GB2312"/>
          <w:sz w:val="32"/>
          <w:szCs w:val="32"/>
        </w:rPr>
        <w:t>发挥工会服务教职员工功能。关心职工生活解决员工后顾之忧，每月一次的“教职工集体生日”，增进了职工之间的友谊和情感；组建声乐、舞蹈、书法、跆拳道等“工会兴趣小组”丰富广大教职工的业余文化生活。</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坚持党建带团建。指导团委创新工作方式、丰富活动内容，全面提升管理品质，完善团委、学生会干部管理体制机制，全面提升学生素质能力，助力学校发展；组织开展各类实践、艺术活动，丰富学生校园文化生活，增强学校凝聚力，学生归属感；组建8个学生自治社团，给学生搭建展示、成长的平台，培育学生兴趣爱好，增长自我教育能力，同时彰显办学特色，助力人才培养质量提升。</w:t>
      </w:r>
    </w:p>
    <w:p>
      <w:pPr>
        <w:ind w:firstLine="640" w:firstLineChars="200"/>
        <w:rPr>
          <w:rFonts w:ascii="仿宋" w:hAnsi="仿宋" w:eastAsia="仿宋" w:cs="仿宋_GB2312"/>
          <w:sz w:val="32"/>
          <w:szCs w:val="32"/>
        </w:rPr>
      </w:pPr>
      <w:bookmarkStart w:id="7" w:name="_Toc501297047"/>
      <w:r>
        <w:rPr>
          <w:rFonts w:hint="eastAsia" w:ascii="仿宋" w:hAnsi="仿宋" w:eastAsia="仿宋" w:cs="仿宋_GB2312"/>
          <w:sz w:val="32"/>
          <w:szCs w:val="32"/>
        </w:rPr>
        <w:t>完善制度，规范程序，时刻绷紧反腐倡廉之弦。</w:t>
      </w:r>
      <w:bookmarkEnd w:id="7"/>
      <w:r>
        <w:rPr>
          <w:rFonts w:hint="eastAsia" w:ascii="仿宋" w:hAnsi="仿宋" w:eastAsia="仿宋" w:cs="仿宋_GB2312"/>
          <w:sz w:val="32"/>
          <w:szCs w:val="32"/>
        </w:rPr>
        <w:t>依规完成正风肃纪监督工作。做到自查自纠深入彻底，专项检查全面覆盖，整改落实认真到位。定期进行廉政谈话，确保党员干部时刻绷紧反腐倡廉之弦。严格执行“三重一大”集体决策制度，力求用制度将风险防控于未然。</w:t>
      </w:r>
    </w:p>
    <w:p>
      <w:pPr>
        <w:ind w:firstLine="601"/>
        <w:rPr>
          <w:rFonts w:ascii="仿宋" w:hAnsi="仿宋" w:eastAsia="仿宋" w:cs="仿宋_GB2312"/>
          <w:color w:val="FF0000"/>
          <w:sz w:val="32"/>
          <w:szCs w:val="32"/>
        </w:rPr>
      </w:pPr>
      <w:r>
        <w:rPr>
          <w:rFonts w:hint="eastAsia" w:ascii="仿宋" w:hAnsi="仿宋" w:eastAsia="仿宋" w:cs="仿宋_GB2312"/>
          <w:sz w:val="32"/>
          <w:szCs w:val="32"/>
        </w:rPr>
        <w:t>制定《南充电子工业学校加强和改进意识形态工作的实施意见》，梳理意识形态建设责任清单，强化意识形态工作监督机制。</w:t>
      </w:r>
    </w:p>
    <w:p>
      <w:pPr>
        <w:rPr>
          <w:rFonts w:ascii="仿宋" w:hAnsi="仿宋" w:eastAsia="仿宋"/>
        </w:rPr>
      </w:pPr>
    </w:p>
    <w:p>
      <w:pPr>
        <w:pStyle w:val="6"/>
        <w:spacing w:before="0" w:beforeAutospacing="0" w:after="252" w:afterAutospacing="0" w:line="315" w:lineRule="atLeast"/>
        <w:rPr>
          <w:rFonts w:ascii="仿宋" w:hAnsi="仿宋" w:eastAsia="仿宋" w:cs="仿宋_GB2312"/>
          <w:b/>
          <w:bCs/>
          <w:color w:val="000000" w:themeColor="text1"/>
          <w:sz w:val="36"/>
          <w:szCs w:val="36"/>
        </w:rPr>
      </w:pPr>
      <w:r>
        <w:rPr>
          <w:rFonts w:hint="eastAsia" w:ascii="仿宋" w:hAnsi="仿宋" w:eastAsia="仿宋" w:cs="仿宋_GB2312"/>
          <w:b/>
          <w:bCs/>
          <w:color w:val="000000" w:themeColor="text1"/>
          <w:sz w:val="36"/>
          <w:szCs w:val="36"/>
        </w:rPr>
        <w:t>四、校企合作</w:t>
      </w:r>
    </w:p>
    <w:p>
      <w:pPr>
        <w:ind w:firstLine="643" w:firstLineChars="200"/>
        <w:rPr>
          <w:rFonts w:ascii="仿宋" w:hAnsi="仿宋" w:eastAsia="仿宋" w:cs="仿宋_GB2312"/>
          <w:b/>
          <w:sz w:val="32"/>
          <w:szCs w:val="32"/>
        </w:rPr>
      </w:pPr>
      <w:r>
        <w:rPr>
          <w:rFonts w:hint="eastAsia" w:ascii="仿宋" w:hAnsi="仿宋" w:eastAsia="仿宋" w:cs="仿宋_GB2312"/>
          <w:b/>
          <w:sz w:val="32"/>
          <w:szCs w:val="32"/>
        </w:rPr>
        <w:t>4.1校企合作开展情况和效果</w:t>
      </w:r>
    </w:p>
    <w:p>
      <w:pPr>
        <w:ind w:firstLine="620" w:firstLineChars="200"/>
        <w:rPr>
          <w:rFonts w:ascii="仿宋" w:hAnsi="仿宋" w:eastAsia="仿宋"/>
          <w:sz w:val="31"/>
        </w:rPr>
      </w:pPr>
      <w:r>
        <w:rPr>
          <w:rFonts w:hint="eastAsia" w:ascii="仿宋" w:hAnsi="仿宋" w:eastAsia="仿宋"/>
          <w:sz w:val="31"/>
        </w:rPr>
        <w:t>学校坚持校企合作、工学结合的基本办学制度，充分发挥校企双元办学主体作业，通过“引企入校，订单开班培养、现代学徒制”等途径和方式，促进行业企业参与人才培养全过程，为学校招生、实习、就业提供良好的保障，学校与吉利四川商用车有限公司、上海大众汽车、成都吉利领克汽车有限公司、上汽通用汽车有限公司、中石化江苏油田矿业开发有限公司、广东高速公路有限公司、南昌铁路局、华科电子有限公司等十多家有实力的企业签订了校企合作协议，学校开展招生订单办学，目前吉利集团、上汽通用汽车已成立订单班。</w:t>
      </w:r>
    </w:p>
    <w:p>
      <w:pPr>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4.2学生实习情况</w:t>
      </w:r>
    </w:p>
    <w:p>
      <w:pPr>
        <w:ind w:firstLine="620" w:firstLineChars="200"/>
        <w:rPr>
          <w:rFonts w:ascii="仿宋" w:hAnsi="仿宋" w:eastAsia="仿宋"/>
          <w:sz w:val="31"/>
        </w:rPr>
      </w:pPr>
      <w:r>
        <w:rPr>
          <w:rFonts w:hint="eastAsia" w:ascii="仿宋" w:hAnsi="仿宋" w:eastAsia="仿宋"/>
          <w:sz w:val="31"/>
        </w:rPr>
        <w:t>学校严格执行按照教育部相关文件规定及管理办法安置学生就业。成立学生就业领导小组、招就处、教务处、学保处</w:t>
      </w:r>
      <w:r>
        <w:rPr>
          <w:rFonts w:hint="eastAsia" w:ascii="仿宋" w:hAnsi="仿宋" w:eastAsia="仿宋"/>
          <w:sz w:val="31"/>
          <w:lang w:eastAsia="zh-CN"/>
        </w:rPr>
        <w:t>负责人</w:t>
      </w:r>
      <w:r>
        <w:rPr>
          <w:rFonts w:hint="eastAsia" w:ascii="仿宋" w:hAnsi="仿宋" w:eastAsia="仿宋"/>
          <w:sz w:val="31"/>
        </w:rPr>
        <w:t>为小组成员。</w:t>
      </w:r>
    </w:p>
    <w:p>
      <w:pPr>
        <w:ind w:firstLine="775" w:firstLineChars="250"/>
        <w:rPr>
          <w:rFonts w:ascii="仿宋" w:hAnsi="仿宋" w:eastAsia="仿宋"/>
          <w:sz w:val="31"/>
        </w:rPr>
      </w:pPr>
      <w:r>
        <w:rPr>
          <w:rFonts w:hint="eastAsia" w:ascii="仿宋" w:hAnsi="仿宋" w:eastAsia="仿宋"/>
          <w:sz w:val="31"/>
        </w:rPr>
        <w:t>2018年实习就业人数775人，直接就业人数684人，就业率98%，对口率87%。城区就业人数458人，镇区就业205人，乡村就业21人，所有学校安置的顶岗实习学生均签订校、企、生、（家长）三方顶岗实习协议，明确实习期间的各项全责及要求，维护学校及学生利益。通过双向选择招聘就业单位吉利四川商用车有限公司、上汽通用汽车有限公司、南昌铁路局、广西南宁铁路、上海大众股份有限公司、广东高速公路有限公司、华科电子有限公司、中石化江苏油田矿业开发有限公司等，这些单位实习工资平均入3000元/月收以上，工作时间8小时，周末若需加班，按照国家规定执行经调查这些单位对我校实习学生满意度达到95%以上。另外：会计专业部分学生赴大管家会计事务所实习就业，航空服务专业赴成都双流机场、上海浦东机场、昆明机场、实习就业，服装专业学生赴申州针织有限公司实习就业。通过单位了解到这些学生都有着吃苦耐劳、工作责任心强的态度，深受企业好评。他们积极热情的投入到培训中学</w:t>
      </w:r>
      <w:r>
        <w:rPr>
          <w:rFonts w:hint="eastAsia" w:ascii="仿宋" w:hAnsi="仿宋" w:eastAsia="仿宋"/>
          <w:sz w:val="31"/>
          <w:lang w:eastAsia="zh-CN"/>
        </w:rPr>
        <w:t>，</w:t>
      </w:r>
      <w:r>
        <w:rPr>
          <w:rFonts w:hint="eastAsia" w:ascii="仿宋" w:hAnsi="仿宋" w:eastAsia="仿宋"/>
          <w:sz w:val="31"/>
        </w:rPr>
        <w:t>快速转换身份，融入企业，工作业绩突出。</w:t>
      </w:r>
    </w:p>
    <w:p>
      <w:pPr>
        <w:pStyle w:val="6"/>
        <w:spacing w:before="0" w:beforeAutospacing="0" w:after="252" w:afterAutospacing="0"/>
        <w:ind w:left="420" w:firstLine="321" w:firstLineChars="100"/>
        <w:rPr>
          <w:rFonts w:ascii="仿宋" w:hAnsi="仿宋" w:eastAsia="仿宋" w:cs="仿宋_GB2312"/>
          <w:b/>
          <w:color w:val="000000" w:themeColor="text1"/>
          <w:sz w:val="32"/>
          <w:szCs w:val="32"/>
        </w:rPr>
      </w:pPr>
      <w:r>
        <w:rPr>
          <w:rFonts w:hint="eastAsia" w:ascii="仿宋" w:hAnsi="仿宋" w:eastAsia="仿宋" w:cs="仿宋_GB2312"/>
          <w:b/>
          <w:color w:val="000000" w:themeColor="text1"/>
          <w:sz w:val="32"/>
          <w:szCs w:val="32"/>
        </w:rPr>
        <w:t>4.3集团化办学情况</w:t>
      </w:r>
    </w:p>
    <w:p>
      <w:pPr>
        <w:pStyle w:val="6"/>
        <w:spacing w:before="0" w:beforeAutospacing="0" w:after="252" w:afterAutospacing="0"/>
        <w:ind w:firstLine="640" w:firstLineChars="200"/>
        <w:rPr>
          <w:rFonts w:hint="eastAsia" w:ascii="仿宋" w:hAnsi="仿宋" w:eastAsia="仿宋" w:cs="仿宋_GB2312"/>
          <w:color w:val="000000" w:themeColor="text1"/>
          <w:sz w:val="32"/>
          <w:szCs w:val="32"/>
          <w:shd w:val="clear" w:color="auto" w:fill="FFFFFF"/>
        </w:rPr>
      </w:pPr>
      <w:r>
        <w:rPr>
          <w:rFonts w:hint="eastAsia" w:ascii="仿宋" w:hAnsi="仿宋" w:eastAsia="仿宋" w:cs="仿宋_GB2312"/>
          <w:color w:val="000000" w:themeColor="text1"/>
          <w:sz w:val="32"/>
          <w:szCs w:val="32"/>
        </w:rPr>
        <w:t>2011年4月，南充大成职业教育集团成立，所辖南充电子工业学校及眉山电子职业技术学校两个校区。</w:t>
      </w:r>
      <w:r>
        <w:rPr>
          <w:rFonts w:hint="eastAsia" w:ascii="仿宋" w:hAnsi="仿宋" w:eastAsia="仿宋" w:cs="仿宋_GB2312"/>
          <w:color w:val="000000" w:themeColor="text1"/>
          <w:sz w:val="32"/>
          <w:szCs w:val="32"/>
          <w:shd w:val="clear" w:color="auto" w:fill="FFFFFF"/>
        </w:rPr>
        <w:t>实行集团领导下的校长负责制，从教育理念、</w:t>
      </w:r>
      <w:r>
        <w:fldChar w:fldCharType="begin"/>
      </w:r>
      <w:r>
        <w:instrText xml:space="preserve"> HYPERLINK "http://www.baike.com/sowiki/%E5%AD%A6%E6%A0%A1%E7%AE%A1%E7%90%86?prd=content_doc_search" \t "http://www.baike.com/wiki/_blank" \o "学校管理" </w:instrText>
      </w:r>
      <w:r>
        <w:fldChar w:fldCharType="separate"/>
      </w:r>
      <w:r>
        <w:rPr>
          <w:rStyle w:val="10"/>
          <w:rFonts w:hint="eastAsia" w:ascii="仿宋" w:hAnsi="仿宋" w:eastAsia="仿宋" w:cs="仿宋_GB2312"/>
          <w:color w:val="000000" w:themeColor="text1"/>
          <w:sz w:val="32"/>
          <w:szCs w:val="32"/>
          <w:shd w:val="clear" w:color="auto" w:fill="FFFFFF"/>
        </w:rPr>
        <w:t>学校管理</w:t>
      </w:r>
      <w:r>
        <w:rPr>
          <w:rStyle w:val="10"/>
          <w:rFonts w:hint="eastAsia" w:ascii="仿宋" w:hAnsi="仿宋" w:eastAsia="仿宋" w:cs="仿宋_GB2312"/>
          <w:color w:val="000000" w:themeColor="text1"/>
          <w:sz w:val="32"/>
          <w:szCs w:val="32"/>
          <w:shd w:val="clear" w:color="auto" w:fill="FFFFFF"/>
        </w:rPr>
        <w:fldChar w:fldCharType="end"/>
      </w:r>
      <w:r>
        <w:rPr>
          <w:rFonts w:hint="eastAsia" w:ascii="仿宋" w:hAnsi="仿宋" w:eastAsia="仿宋" w:cs="仿宋_GB2312"/>
          <w:color w:val="000000" w:themeColor="text1"/>
          <w:sz w:val="32"/>
          <w:szCs w:val="32"/>
          <w:shd w:val="clear" w:color="auto" w:fill="FFFFFF"/>
        </w:rPr>
        <w:t>、</w:t>
      </w:r>
      <w:r>
        <w:fldChar w:fldCharType="begin"/>
      </w:r>
      <w:r>
        <w:instrText xml:space="preserve"> HYPERLINK "http://www.baike.com/sowiki/%E6%95%99%E8%82%B2%E7%A7%91%E7%A0%94?prd=content_doc_search" \t "http://www.baike.com/wiki/_blank" \o "教育科研" </w:instrText>
      </w:r>
      <w:r>
        <w:fldChar w:fldCharType="separate"/>
      </w:r>
      <w:r>
        <w:rPr>
          <w:rStyle w:val="10"/>
          <w:rFonts w:hint="eastAsia" w:ascii="仿宋" w:hAnsi="仿宋" w:eastAsia="仿宋" w:cs="仿宋_GB2312"/>
          <w:color w:val="000000" w:themeColor="text1"/>
          <w:sz w:val="32"/>
          <w:szCs w:val="32"/>
          <w:shd w:val="clear" w:color="auto" w:fill="FFFFFF"/>
        </w:rPr>
        <w:t>教育科研</w:t>
      </w:r>
      <w:r>
        <w:rPr>
          <w:rStyle w:val="10"/>
          <w:rFonts w:hint="eastAsia" w:ascii="仿宋" w:hAnsi="仿宋" w:eastAsia="仿宋" w:cs="仿宋_GB2312"/>
          <w:color w:val="000000" w:themeColor="text1"/>
          <w:sz w:val="32"/>
          <w:szCs w:val="32"/>
          <w:shd w:val="clear" w:color="auto" w:fill="FFFFFF"/>
        </w:rPr>
        <w:fldChar w:fldCharType="end"/>
      </w:r>
      <w:r>
        <w:rPr>
          <w:rFonts w:hint="eastAsia" w:ascii="仿宋" w:hAnsi="仿宋" w:eastAsia="仿宋" w:cs="仿宋_GB2312"/>
          <w:color w:val="000000" w:themeColor="text1"/>
          <w:sz w:val="32"/>
          <w:szCs w:val="32"/>
          <w:shd w:val="clear" w:color="auto" w:fill="FFFFFF"/>
        </w:rPr>
        <w:t>、</w:t>
      </w:r>
      <w:r>
        <w:fldChar w:fldCharType="begin"/>
      </w:r>
      <w:r>
        <w:instrText xml:space="preserve"> HYPERLINK "http://www.baike.com/sowiki/%E4%BF%A1%E6%81%AF%E6%8A%80%E6%9C%AF?prd=content_doc_search" \t "http://www.baike.com/wiki/_blank" \o "信息技术" </w:instrText>
      </w:r>
      <w:r>
        <w:fldChar w:fldCharType="separate"/>
      </w:r>
      <w:r>
        <w:rPr>
          <w:rStyle w:val="10"/>
          <w:rFonts w:hint="eastAsia" w:ascii="仿宋" w:hAnsi="仿宋" w:eastAsia="仿宋" w:cs="仿宋_GB2312"/>
          <w:color w:val="000000" w:themeColor="text1"/>
          <w:sz w:val="32"/>
          <w:szCs w:val="32"/>
          <w:shd w:val="clear" w:color="auto" w:fill="FFFFFF"/>
        </w:rPr>
        <w:t>信息技术</w:t>
      </w:r>
      <w:r>
        <w:rPr>
          <w:rStyle w:val="10"/>
          <w:rFonts w:hint="eastAsia" w:ascii="仿宋" w:hAnsi="仿宋" w:eastAsia="仿宋" w:cs="仿宋_GB2312"/>
          <w:color w:val="000000" w:themeColor="text1"/>
          <w:sz w:val="32"/>
          <w:szCs w:val="32"/>
          <w:shd w:val="clear" w:color="auto" w:fill="FFFFFF"/>
        </w:rPr>
        <w:fldChar w:fldCharType="end"/>
      </w:r>
      <w:r>
        <w:rPr>
          <w:rFonts w:hint="eastAsia" w:ascii="仿宋" w:hAnsi="仿宋" w:eastAsia="仿宋" w:cs="仿宋_GB2312"/>
          <w:color w:val="000000" w:themeColor="text1"/>
          <w:sz w:val="32"/>
          <w:szCs w:val="32"/>
          <w:shd w:val="clear" w:color="auto" w:fill="FFFFFF"/>
        </w:rPr>
        <w:t>、教育评价、校产管理等方面统一管理，做到了师资、设备、教学资源</w:t>
      </w:r>
      <w:r>
        <w:rPr>
          <w:rFonts w:hint="eastAsia" w:ascii="仿宋" w:hAnsi="仿宋" w:eastAsia="仿宋" w:cs="仿宋_GB2312"/>
          <w:color w:val="000000" w:themeColor="text1"/>
          <w:sz w:val="32"/>
          <w:szCs w:val="32"/>
          <w:shd w:val="clear" w:color="auto" w:fill="FFFFFF"/>
          <w:lang w:eastAsia="zh-CN"/>
        </w:rPr>
        <w:t>等</w:t>
      </w:r>
      <w:r>
        <w:rPr>
          <w:rFonts w:hint="eastAsia" w:ascii="仿宋" w:hAnsi="仿宋" w:eastAsia="仿宋" w:cs="仿宋_GB2312"/>
          <w:color w:val="000000" w:themeColor="text1"/>
          <w:sz w:val="32"/>
          <w:szCs w:val="32"/>
          <w:shd w:val="clear" w:color="auto" w:fill="FFFFFF"/>
        </w:rPr>
        <w:t>的共享。两校之间既有统一的协调和管理，又相对独立，充分发挥各自的办学特色，实现互惠互助，共同成长。</w:t>
      </w:r>
    </w:p>
    <w:p>
      <w:pPr>
        <w:pStyle w:val="6"/>
        <w:spacing w:before="0" w:beforeAutospacing="0" w:after="252" w:afterAutospacing="0"/>
        <w:ind w:firstLine="640" w:firstLineChars="200"/>
        <w:rPr>
          <w:rFonts w:ascii="仿宋" w:hAnsi="仿宋" w:eastAsia="仿宋" w:cs="仿宋_GB2312"/>
          <w:color w:val="000000" w:themeColor="text1"/>
          <w:sz w:val="32"/>
          <w:szCs w:val="32"/>
          <w:shd w:val="clear" w:color="auto" w:fill="FFFFFF"/>
        </w:rPr>
      </w:pPr>
      <w:r>
        <w:rPr>
          <w:rFonts w:hint="eastAsia" w:ascii="仿宋" w:hAnsi="仿宋" w:eastAsia="仿宋" w:cs="仿宋_GB2312"/>
          <w:color w:val="000000" w:themeColor="text1"/>
          <w:sz w:val="32"/>
          <w:szCs w:val="32"/>
          <w:shd w:val="clear" w:color="auto" w:fill="FFFFFF"/>
        </w:rPr>
        <w:t>学校集团化办学的运行，引入市场经济的理念，借鉴现代企业的管理制度和运行机制，不断逐步建立起了符合集团化发展的内部管理制度，一是扁平化管理，管理层次少、简政放权、统一指挥、消除内耗，管理幅度大，管理效能高，是一种人性化的新型管理模式。二是网络化管理。三是全面质量管理，集团建立了一整套管理标准和制度，每月按计划对各学校常规工作进行检查和督导评估，并将评估结果与校区分管领导绩效工资挂钩。</w:t>
      </w:r>
    </w:p>
    <w:p>
      <w:pPr>
        <w:pStyle w:val="6"/>
        <w:spacing w:before="0" w:beforeAutospacing="0" w:after="252" w:afterAutospacing="0"/>
        <w:ind w:firstLine="640" w:firstLineChars="200"/>
        <w:rPr>
          <w:rFonts w:ascii="仿宋" w:hAnsi="仿宋" w:eastAsia="仿宋" w:cs="仿宋_GB2312"/>
          <w:color w:val="000000" w:themeColor="text1"/>
          <w:sz w:val="32"/>
          <w:szCs w:val="32"/>
          <w:shd w:val="clear" w:color="auto" w:fill="FFFFFF"/>
        </w:rPr>
      </w:pPr>
      <w:r>
        <w:rPr>
          <w:rFonts w:hint="eastAsia" w:ascii="仿宋" w:hAnsi="仿宋" w:eastAsia="仿宋" w:cs="仿宋_GB2312"/>
          <w:color w:val="000000" w:themeColor="text1"/>
          <w:sz w:val="32"/>
          <w:szCs w:val="32"/>
          <w:shd w:val="clear" w:color="auto" w:fill="FFFFFF"/>
        </w:rPr>
        <w:t>集团化办学在对教师管理上也作也了改革创新：在尊重教师意愿，考虑学校实际，满</w:t>
      </w:r>
      <w:r>
        <w:rPr>
          <w:rFonts w:hint="eastAsia" w:ascii="仿宋" w:hAnsi="仿宋" w:eastAsia="仿宋" w:cs="仿宋_GB2312"/>
          <w:color w:val="191919"/>
          <w:sz w:val="32"/>
          <w:szCs w:val="32"/>
          <w:shd w:val="clear" w:color="auto" w:fill="FFFFFF"/>
        </w:rPr>
        <w:t>足工作需要的基础上，统筹调配教师资源，切实均衡师资力量，推动学校均衡发展。在实施师资队伍深度融合过程中</w:t>
      </w:r>
      <w:r>
        <w:rPr>
          <w:rFonts w:hint="eastAsia" w:ascii="仿宋" w:hAnsi="仿宋" w:eastAsia="仿宋" w:cs="仿宋_GB2312"/>
          <w:color w:val="000000" w:themeColor="text1"/>
          <w:sz w:val="32"/>
          <w:szCs w:val="32"/>
          <w:shd w:val="clear" w:color="auto" w:fill="FFFFFF"/>
        </w:rPr>
        <w:t>，强化集团校一体化的概念与意识，提高教师身份的认同度，解决了教师合理流动的问题，又关注了教师归属感问题，使教师愿意交流，适应流动。同时，在流动过程中激发专业发展的潜力，激活专业进取的欲望，实现自身的专业发展与提升。设计科学合理的考核评价细则，实施对校干、教师、学校发展的考核评价，通过考核评价的统一性，减少管理与交流阻力，激发全体教育工作者的积极性与主动性。</w:t>
      </w:r>
    </w:p>
    <w:p>
      <w:pPr>
        <w:pStyle w:val="6"/>
        <w:spacing w:before="0" w:beforeAutospacing="0" w:after="252" w:afterAutospacing="0" w:line="315" w:lineRule="atLeast"/>
        <w:rPr>
          <w:rFonts w:ascii="仿宋" w:hAnsi="仿宋" w:eastAsia="仿宋" w:cs="仿宋_GB2312"/>
          <w:b/>
          <w:bCs/>
          <w:color w:val="000000" w:themeColor="text1"/>
          <w:sz w:val="36"/>
          <w:szCs w:val="36"/>
        </w:rPr>
      </w:pPr>
      <w:r>
        <w:rPr>
          <w:rFonts w:hint="eastAsia" w:ascii="仿宋" w:hAnsi="仿宋" w:eastAsia="仿宋" w:cs="仿宋_GB2312"/>
          <w:b/>
          <w:bCs/>
          <w:color w:val="000000" w:themeColor="text1"/>
          <w:sz w:val="36"/>
          <w:szCs w:val="36"/>
        </w:rPr>
        <w:t>五、社会贡献</w:t>
      </w:r>
    </w:p>
    <w:p>
      <w:pPr>
        <w:pStyle w:val="6"/>
        <w:shd w:val="clear" w:color="auto" w:fill="FFFFFF"/>
        <w:spacing w:before="0" w:beforeAutospacing="0" w:after="75" w:afterAutospacing="0" w:line="400" w:lineRule="atLeast"/>
        <w:ind w:firstLine="643" w:firstLineChars="200"/>
        <w:rPr>
          <w:rFonts w:ascii="仿宋" w:hAnsi="仿宋" w:eastAsia="仿宋" w:cs="仿宋_GB2312"/>
          <w:b/>
          <w:kern w:val="2"/>
          <w:sz w:val="32"/>
          <w:szCs w:val="32"/>
        </w:rPr>
      </w:pPr>
      <w:r>
        <w:rPr>
          <w:rFonts w:hint="eastAsia" w:ascii="仿宋" w:hAnsi="仿宋" w:eastAsia="仿宋" w:cs="仿宋_GB2312"/>
          <w:b/>
          <w:kern w:val="2"/>
          <w:sz w:val="32"/>
          <w:szCs w:val="32"/>
        </w:rPr>
        <w:t>5.1技术技能人才培养</w:t>
      </w:r>
    </w:p>
    <w:p>
      <w:pPr>
        <w:ind w:firstLine="640" w:firstLineChars="200"/>
        <w:rPr>
          <w:rFonts w:ascii="仿宋" w:hAnsi="仿宋" w:eastAsia="仿宋"/>
          <w:sz w:val="32"/>
          <w:szCs w:val="32"/>
        </w:rPr>
      </w:pPr>
      <w:r>
        <w:rPr>
          <w:rFonts w:hint="eastAsia" w:ascii="仿宋" w:hAnsi="仿宋" w:eastAsia="仿宋"/>
          <w:sz w:val="32"/>
          <w:szCs w:val="32"/>
        </w:rPr>
        <w:t>我校注重专业技能技术人才的培养，在校期间，学生分别能考取计算机等级证书、普通话证书、电工、车工、汽车维修工、保育员等相关专业的职业资格证书，2017年总计考证率占毕业人数的76％，2018年总计考证率点毕业人数的77％。在学生实习、就业期间分别成为生产车间的拉长、部门技术骨干，就业的优胜率持续提高，如三环电子股份有限公司4名学生在实习时成为组长，吉利集团股份公司南充分公司3名学生在总装车间成为技术能手。学生的实习、就业工资在3000－5000元，为建设成渝第二成做出了一定的贡献。</w:t>
      </w:r>
    </w:p>
    <w:p>
      <w:pPr>
        <w:jc w:val="center"/>
        <w:rPr>
          <w:rFonts w:ascii="仿宋" w:hAnsi="仿宋" w:eastAsia="仿宋"/>
          <w:b/>
          <w:sz w:val="32"/>
          <w:szCs w:val="32"/>
        </w:rPr>
      </w:pPr>
      <w:r>
        <w:rPr>
          <w:rFonts w:hint="eastAsia" w:ascii="仿宋" w:hAnsi="仿宋" w:eastAsia="仿宋"/>
          <w:b/>
          <w:sz w:val="32"/>
          <w:szCs w:val="32"/>
        </w:rPr>
        <w:t>企业对学生的就业满意度调查</w:t>
      </w:r>
    </w:p>
    <w:tbl>
      <w:tblPr>
        <w:tblStyle w:val="7"/>
        <w:tblW w:w="832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124"/>
        <w:gridCol w:w="210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11" w:type="dxa"/>
            <w:vAlign w:val="center"/>
          </w:tcPr>
          <w:p>
            <w:pPr>
              <w:jc w:val="center"/>
              <w:rPr>
                <w:rFonts w:ascii="仿宋" w:hAnsi="仿宋" w:eastAsia="仿宋"/>
                <w:sz w:val="28"/>
                <w:szCs w:val="28"/>
              </w:rPr>
            </w:pPr>
            <w:r>
              <w:rPr>
                <w:rFonts w:hint="eastAsia" w:ascii="仿宋" w:hAnsi="仿宋" w:eastAsia="仿宋"/>
                <w:sz w:val="28"/>
                <w:szCs w:val="28"/>
              </w:rPr>
              <w:t>调查年份</w:t>
            </w:r>
          </w:p>
        </w:tc>
        <w:tc>
          <w:tcPr>
            <w:tcW w:w="2124" w:type="dxa"/>
            <w:vAlign w:val="center"/>
          </w:tcPr>
          <w:p>
            <w:pPr>
              <w:jc w:val="center"/>
              <w:rPr>
                <w:rFonts w:ascii="仿宋" w:hAnsi="仿宋" w:eastAsia="仿宋"/>
                <w:sz w:val="28"/>
                <w:szCs w:val="28"/>
              </w:rPr>
            </w:pPr>
            <w:r>
              <w:rPr>
                <w:rFonts w:hint="eastAsia" w:ascii="仿宋" w:hAnsi="仿宋" w:eastAsia="仿宋"/>
                <w:sz w:val="28"/>
                <w:szCs w:val="28"/>
              </w:rPr>
              <w:t>发放调查表</w:t>
            </w:r>
          </w:p>
        </w:tc>
        <w:tc>
          <w:tcPr>
            <w:tcW w:w="2100" w:type="dxa"/>
            <w:vAlign w:val="center"/>
          </w:tcPr>
          <w:p>
            <w:pPr>
              <w:widowControl/>
              <w:jc w:val="center"/>
              <w:rPr>
                <w:rFonts w:ascii="仿宋" w:hAnsi="仿宋" w:eastAsia="仿宋"/>
                <w:sz w:val="28"/>
                <w:szCs w:val="28"/>
              </w:rPr>
            </w:pPr>
            <w:r>
              <w:rPr>
                <w:rFonts w:hint="eastAsia" w:ascii="仿宋" w:hAnsi="仿宋" w:eastAsia="仿宋"/>
                <w:sz w:val="28"/>
                <w:szCs w:val="28"/>
              </w:rPr>
              <w:t>收回调查表</w:t>
            </w:r>
          </w:p>
        </w:tc>
        <w:tc>
          <w:tcPr>
            <w:tcW w:w="2490" w:type="dxa"/>
            <w:vAlign w:val="center"/>
          </w:tcPr>
          <w:p>
            <w:pPr>
              <w:jc w:val="center"/>
              <w:rPr>
                <w:rFonts w:ascii="仿宋" w:hAnsi="仿宋" w:eastAsia="仿宋"/>
                <w:sz w:val="28"/>
                <w:szCs w:val="28"/>
              </w:rPr>
            </w:pPr>
            <w:r>
              <w:rPr>
                <w:rFonts w:hint="eastAsia" w:ascii="仿宋" w:hAnsi="仿宋" w:eastAsia="仿宋"/>
                <w:sz w:val="28"/>
                <w:szCs w:val="28"/>
              </w:rPr>
              <w:t>企业满意度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611" w:type="dxa"/>
            <w:vAlign w:val="center"/>
          </w:tcPr>
          <w:p>
            <w:pPr>
              <w:ind w:left="-90"/>
              <w:jc w:val="center"/>
              <w:rPr>
                <w:rFonts w:ascii="仿宋" w:hAnsi="仿宋" w:eastAsia="仿宋"/>
                <w:sz w:val="28"/>
                <w:szCs w:val="28"/>
              </w:rPr>
            </w:pPr>
            <w:r>
              <w:rPr>
                <w:rFonts w:hint="eastAsia" w:ascii="仿宋" w:hAnsi="仿宋" w:eastAsia="仿宋"/>
                <w:sz w:val="28"/>
                <w:szCs w:val="28"/>
              </w:rPr>
              <w:t>2017</w:t>
            </w:r>
          </w:p>
        </w:tc>
        <w:tc>
          <w:tcPr>
            <w:tcW w:w="2124" w:type="dxa"/>
            <w:vAlign w:val="center"/>
          </w:tcPr>
          <w:p>
            <w:pPr>
              <w:widowControl/>
              <w:jc w:val="center"/>
              <w:rPr>
                <w:rFonts w:ascii="仿宋" w:hAnsi="仿宋" w:eastAsia="仿宋"/>
                <w:sz w:val="28"/>
                <w:szCs w:val="28"/>
              </w:rPr>
            </w:pPr>
            <w:r>
              <w:rPr>
                <w:rFonts w:hint="eastAsia" w:ascii="仿宋" w:hAnsi="仿宋" w:eastAsia="仿宋"/>
                <w:sz w:val="28"/>
                <w:szCs w:val="28"/>
              </w:rPr>
              <w:t>653</w:t>
            </w:r>
          </w:p>
        </w:tc>
        <w:tc>
          <w:tcPr>
            <w:tcW w:w="2100" w:type="dxa"/>
            <w:vAlign w:val="center"/>
          </w:tcPr>
          <w:p>
            <w:pPr>
              <w:widowControl/>
              <w:jc w:val="center"/>
              <w:rPr>
                <w:rFonts w:ascii="仿宋" w:hAnsi="仿宋" w:eastAsia="仿宋"/>
                <w:sz w:val="28"/>
                <w:szCs w:val="28"/>
              </w:rPr>
            </w:pPr>
            <w:r>
              <w:rPr>
                <w:rFonts w:hint="eastAsia" w:ascii="仿宋" w:hAnsi="仿宋" w:eastAsia="仿宋"/>
                <w:sz w:val="28"/>
                <w:szCs w:val="28"/>
              </w:rPr>
              <w:t>602</w:t>
            </w:r>
          </w:p>
        </w:tc>
        <w:tc>
          <w:tcPr>
            <w:tcW w:w="2490" w:type="dxa"/>
            <w:vAlign w:val="center"/>
          </w:tcPr>
          <w:p>
            <w:pPr>
              <w:jc w:val="center"/>
              <w:rPr>
                <w:rFonts w:ascii="仿宋" w:hAnsi="仿宋" w:eastAsia="仿宋"/>
                <w:sz w:val="28"/>
                <w:szCs w:val="28"/>
              </w:rPr>
            </w:pPr>
            <w:r>
              <w:rPr>
                <w:rFonts w:hint="eastAsia" w:ascii="仿宋" w:hAnsi="仿宋" w:eastAsia="仿宋"/>
                <w:sz w:val="28"/>
                <w:szCs w:val="28"/>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11" w:type="dxa"/>
            <w:vAlign w:val="center"/>
          </w:tcPr>
          <w:p>
            <w:pPr>
              <w:jc w:val="center"/>
              <w:rPr>
                <w:rFonts w:ascii="仿宋" w:hAnsi="仿宋" w:eastAsia="仿宋"/>
                <w:sz w:val="28"/>
                <w:szCs w:val="28"/>
              </w:rPr>
            </w:pPr>
            <w:r>
              <w:rPr>
                <w:rFonts w:hint="eastAsia" w:ascii="仿宋" w:hAnsi="仿宋" w:eastAsia="仿宋"/>
                <w:sz w:val="28"/>
                <w:szCs w:val="28"/>
              </w:rPr>
              <w:t>2018</w:t>
            </w:r>
          </w:p>
        </w:tc>
        <w:tc>
          <w:tcPr>
            <w:tcW w:w="2124" w:type="dxa"/>
            <w:vAlign w:val="center"/>
          </w:tcPr>
          <w:p>
            <w:pPr>
              <w:jc w:val="center"/>
              <w:rPr>
                <w:rFonts w:ascii="仿宋" w:hAnsi="仿宋" w:eastAsia="仿宋"/>
                <w:sz w:val="28"/>
                <w:szCs w:val="28"/>
              </w:rPr>
            </w:pPr>
            <w:r>
              <w:rPr>
                <w:rFonts w:hint="eastAsia" w:ascii="仿宋" w:hAnsi="仿宋" w:eastAsia="仿宋"/>
                <w:sz w:val="28"/>
                <w:szCs w:val="28"/>
              </w:rPr>
              <w:t>846</w:t>
            </w:r>
          </w:p>
        </w:tc>
        <w:tc>
          <w:tcPr>
            <w:tcW w:w="2100" w:type="dxa"/>
            <w:vAlign w:val="center"/>
          </w:tcPr>
          <w:p>
            <w:pPr>
              <w:jc w:val="center"/>
              <w:rPr>
                <w:rFonts w:ascii="仿宋" w:hAnsi="仿宋" w:eastAsia="仿宋"/>
                <w:sz w:val="28"/>
                <w:szCs w:val="28"/>
              </w:rPr>
            </w:pPr>
            <w:r>
              <w:rPr>
                <w:rFonts w:hint="eastAsia" w:ascii="仿宋" w:hAnsi="仿宋" w:eastAsia="仿宋"/>
                <w:sz w:val="28"/>
                <w:szCs w:val="28"/>
              </w:rPr>
              <w:t>823</w:t>
            </w:r>
          </w:p>
        </w:tc>
        <w:tc>
          <w:tcPr>
            <w:tcW w:w="2490" w:type="dxa"/>
            <w:vAlign w:val="center"/>
          </w:tcPr>
          <w:p>
            <w:pPr>
              <w:jc w:val="center"/>
              <w:rPr>
                <w:rFonts w:ascii="仿宋" w:hAnsi="仿宋" w:eastAsia="仿宋"/>
                <w:sz w:val="28"/>
                <w:szCs w:val="28"/>
              </w:rPr>
            </w:pPr>
            <w:r>
              <w:rPr>
                <w:rFonts w:hint="eastAsia" w:ascii="仿宋" w:hAnsi="仿宋" w:eastAsia="仿宋"/>
                <w:sz w:val="28"/>
                <w:szCs w:val="28"/>
              </w:rPr>
              <w:t>82％</w:t>
            </w:r>
          </w:p>
        </w:tc>
      </w:tr>
    </w:tbl>
    <w:p>
      <w:pPr>
        <w:rPr>
          <w:rFonts w:ascii="仿宋" w:hAnsi="仿宋" w:eastAsia="仿宋"/>
          <w:sz w:val="32"/>
          <w:szCs w:val="32"/>
        </w:rPr>
      </w:pPr>
    </w:p>
    <w:p>
      <w:pPr>
        <w:pStyle w:val="6"/>
        <w:shd w:val="clear" w:color="auto" w:fill="FFFFFF"/>
        <w:spacing w:before="0" w:beforeAutospacing="0" w:after="75" w:afterAutospacing="0" w:line="400" w:lineRule="atLeast"/>
        <w:ind w:firstLine="643" w:firstLineChars="200"/>
        <w:rPr>
          <w:rFonts w:ascii="仿宋" w:hAnsi="仿宋" w:eastAsia="仿宋" w:cs="仿宋_GB2312"/>
          <w:b/>
          <w:bCs/>
          <w:kern w:val="2"/>
          <w:sz w:val="32"/>
          <w:szCs w:val="32"/>
        </w:rPr>
      </w:pPr>
      <w:r>
        <w:rPr>
          <w:rFonts w:hint="eastAsia" w:ascii="仿宋" w:hAnsi="仿宋" w:eastAsia="仿宋" w:cs="仿宋_GB2312"/>
          <w:b/>
          <w:bCs/>
          <w:kern w:val="2"/>
          <w:sz w:val="32"/>
          <w:szCs w:val="32"/>
        </w:rPr>
        <w:t>5.2社会服务</w:t>
      </w:r>
    </w:p>
    <w:p>
      <w:pPr>
        <w:ind w:firstLine="640" w:firstLineChars="200"/>
        <w:rPr>
          <w:rFonts w:ascii="仿宋" w:hAnsi="仿宋" w:eastAsia="仿宋"/>
          <w:sz w:val="32"/>
          <w:szCs w:val="32"/>
        </w:rPr>
      </w:pPr>
      <w:r>
        <w:rPr>
          <w:rFonts w:hint="eastAsia" w:ascii="仿宋" w:hAnsi="仿宋" w:eastAsia="仿宋"/>
          <w:sz w:val="32"/>
          <w:szCs w:val="32"/>
        </w:rPr>
        <w:t>学校高度重视社会服务工作，尤其是在汽车专业、电子技术专业，2017年共培训农民工327人，从事相关行业121人；2018年培训再就业人员220人，经过培训再就业人员103人。学校的师资和实训室对社会开放，2018年共对社会服务72天。</w:t>
      </w:r>
    </w:p>
    <w:p>
      <w:pPr>
        <w:pStyle w:val="6"/>
        <w:shd w:val="clear" w:color="auto" w:fill="FFFFFF"/>
        <w:spacing w:before="0" w:beforeAutospacing="0" w:after="75" w:afterAutospacing="0" w:line="400" w:lineRule="atLeast"/>
        <w:ind w:firstLine="643" w:firstLineChars="200"/>
        <w:rPr>
          <w:rFonts w:ascii="仿宋" w:hAnsi="仿宋" w:eastAsia="仿宋" w:cs="仿宋_GB2312"/>
          <w:b/>
          <w:kern w:val="2"/>
          <w:sz w:val="32"/>
          <w:szCs w:val="32"/>
        </w:rPr>
      </w:pPr>
      <w:r>
        <w:rPr>
          <w:rFonts w:hint="eastAsia" w:ascii="仿宋" w:hAnsi="仿宋" w:eastAsia="仿宋" w:cs="仿宋_GB2312"/>
          <w:b/>
          <w:kern w:val="2"/>
          <w:sz w:val="32"/>
          <w:szCs w:val="32"/>
        </w:rPr>
        <w:t>5.3对口支援</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学校对家庭特别困难的学生对口扶贫，对5名特别困难学生实行建档立卡，均享受免学费1900元一年，共三年。助学金2000元一年，共两年。保证他们能顺利完成学业，他们分别是：</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 xml:space="preserve">16汽修1班 王民   </w:t>
      </w:r>
      <w:r>
        <w:rPr>
          <w:rFonts w:hint="eastAsia" w:ascii="仿宋" w:hAnsi="仿宋" w:eastAsia="仿宋" w:cstheme="minorEastAsia"/>
          <w:sz w:val="32"/>
          <w:szCs w:val="32"/>
          <w:lang w:val="en-US" w:eastAsia="zh-CN"/>
        </w:rPr>
        <w:t xml:space="preserve">  </w:t>
      </w:r>
      <w:r>
        <w:rPr>
          <w:rFonts w:hint="eastAsia" w:ascii="仿宋" w:hAnsi="仿宋" w:eastAsia="仿宋" w:cstheme="minorEastAsia"/>
          <w:sz w:val="32"/>
          <w:szCs w:val="32"/>
        </w:rPr>
        <w:t>南充市高坪区万家乡邵家坪村</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16汽修2班</w:t>
      </w:r>
      <w:r>
        <w:rPr>
          <w:rFonts w:hint="eastAsia" w:ascii="仿宋" w:hAnsi="仿宋" w:eastAsia="仿宋" w:cstheme="minorEastAsia"/>
          <w:sz w:val="32"/>
          <w:szCs w:val="32"/>
          <w:lang w:val="en-US" w:eastAsia="zh-CN"/>
        </w:rPr>
        <w:t xml:space="preserve"> </w:t>
      </w:r>
      <w:r>
        <w:rPr>
          <w:rFonts w:hint="eastAsia" w:ascii="仿宋" w:hAnsi="仿宋" w:eastAsia="仿宋" w:cstheme="minorEastAsia"/>
          <w:sz w:val="32"/>
          <w:szCs w:val="32"/>
        </w:rPr>
        <w:t xml:space="preserve">杨银川 </w:t>
      </w:r>
      <w:r>
        <w:rPr>
          <w:rFonts w:hint="eastAsia" w:ascii="仿宋" w:hAnsi="仿宋" w:eastAsia="仿宋" w:cstheme="minorEastAsia"/>
          <w:sz w:val="32"/>
          <w:szCs w:val="32"/>
          <w:lang w:val="en-US" w:eastAsia="zh-CN"/>
        </w:rPr>
        <w:t xml:space="preserve">  </w:t>
      </w:r>
      <w:r>
        <w:rPr>
          <w:rFonts w:hint="eastAsia" w:ascii="仿宋" w:hAnsi="仿宋" w:eastAsia="仿宋" w:cstheme="minorEastAsia"/>
          <w:sz w:val="32"/>
          <w:szCs w:val="32"/>
        </w:rPr>
        <w:t>南充市高坪区东观镇</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 xml:space="preserve">17汽修1班 唐江林 </w:t>
      </w:r>
      <w:r>
        <w:rPr>
          <w:rFonts w:hint="eastAsia" w:ascii="仿宋" w:hAnsi="仿宋" w:eastAsia="仿宋" w:cstheme="minorEastAsia"/>
          <w:sz w:val="32"/>
          <w:szCs w:val="32"/>
          <w:lang w:val="en-US" w:eastAsia="zh-CN"/>
        </w:rPr>
        <w:t xml:space="preserve">  </w:t>
      </w:r>
      <w:r>
        <w:rPr>
          <w:rFonts w:hint="eastAsia" w:ascii="仿宋" w:hAnsi="仿宋" w:eastAsia="仿宋" w:cstheme="minorEastAsia"/>
          <w:sz w:val="32"/>
          <w:szCs w:val="32"/>
        </w:rPr>
        <w:t>南充市高坪区万家乡湛家沟村</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 xml:space="preserve">17汽修1班 崔松林 </w:t>
      </w:r>
      <w:r>
        <w:rPr>
          <w:rFonts w:hint="eastAsia" w:ascii="仿宋" w:hAnsi="仿宋" w:eastAsia="仿宋" w:cstheme="minorEastAsia"/>
          <w:sz w:val="32"/>
          <w:szCs w:val="32"/>
          <w:lang w:val="en-US" w:eastAsia="zh-CN"/>
        </w:rPr>
        <w:t xml:space="preserve">  </w:t>
      </w:r>
      <w:r>
        <w:rPr>
          <w:rFonts w:hint="eastAsia" w:ascii="仿宋" w:hAnsi="仿宋" w:eastAsia="仿宋" w:cstheme="minorEastAsia"/>
          <w:sz w:val="32"/>
          <w:szCs w:val="32"/>
        </w:rPr>
        <w:t>南充市高坪区东观镇罗家沟村</w:t>
      </w:r>
    </w:p>
    <w:p>
      <w:pPr>
        <w:ind w:firstLine="640" w:firstLineChars="200"/>
        <w:rPr>
          <w:rFonts w:ascii="仿宋" w:hAnsi="仿宋" w:eastAsia="仿宋" w:cs="仿宋_GB2312"/>
          <w:sz w:val="32"/>
          <w:szCs w:val="32"/>
        </w:rPr>
      </w:pPr>
      <w:r>
        <w:rPr>
          <w:rFonts w:hint="eastAsia" w:ascii="仿宋" w:hAnsi="仿宋" w:eastAsia="仿宋" w:cstheme="minorEastAsia"/>
          <w:sz w:val="32"/>
          <w:szCs w:val="32"/>
        </w:rPr>
        <w:t xml:space="preserve">17电商班  宋丽莲 </w:t>
      </w:r>
      <w:r>
        <w:rPr>
          <w:rFonts w:hint="eastAsia" w:ascii="仿宋" w:hAnsi="仿宋" w:eastAsia="仿宋" w:cstheme="minorEastAsia"/>
          <w:sz w:val="32"/>
          <w:szCs w:val="32"/>
          <w:lang w:val="en-US" w:eastAsia="zh-CN"/>
        </w:rPr>
        <w:t xml:space="preserve">   </w:t>
      </w:r>
      <w:r>
        <w:rPr>
          <w:rFonts w:hint="eastAsia" w:ascii="仿宋" w:hAnsi="仿宋" w:eastAsia="仿宋" w:cstheme="minorEastAsia"/>
          <w:sz w:val="32"/>
          <w:szCs w:val="32"/>
        </w:rPr>
        <w:t>南充市高坪区隆兴乡新桥沟村</w:t>
      </w:r>
    </w:p>
    <w:p>
      <w:pPr>
        <w:pStyle w:val="6"/>
        <w:shd w:val="clear" w:color="auto" w:fill="FFFFFF"/>
        <w:spacing w:before="0" w:beforeAutospacing="0" w:after="75" w:afterAutospacing="0" w:line="400" w:lineRule="atLeast"/>
        <w:rPr>
          <w:rFonts w:ascii="仿宋" w:hAnsi="仿宋" w:eastAsia="仿宋" w:cs="仿宋_GB2312"/>
          <w:b/>
          <w:bCs/>
          <w:color w:val="000000" w:themeColor="text1"/>
          <w:kern w:val="2"/>
          <w:sz w:val="36"/>
          <w:szCs w:val="36"/>
        </w:rPr>
      </w:pPr>
      <w:r>
        <w:rPr>
          <w:rFonts w:hint="eastAsia" w:ascii="仿宋" w:hAnsi="仿宋" w:eastAsia="仿宋" w:cs="仿宋_GB2312"/>
          <w:b/>
          <w:bCs/>
          <w:color w:val="000000" w:themeColor="text1"/>
          <w:kern w:val="2"/>
          <w:sz w:val="36"/>
          <w:szCs w:val="36"/>
        </w:rPr>
        <w:t>六、举办者履责</w:t>
      </w:r>
    </w:p>
    <w:p>
      <w:pPr>
        <w:pStyle w:val="6"/>
        <w:shd w:val="clear" w:color="auto" w:fill="FFFFFF"/>
        <w:spacing w:before="0" w:beforeAutospacing="0" w:after="75" w:afterAutospacing="0" w:line="400" w:lineRule="atLeast"/>
        <w:ind w:firstLine="643" w:firstLineChars="200"/>
        <w:rPr>
          <w:rFonts w:ascii="仿宋" w:hAnsi="仿宋" w:eastAsia="仿宋" w:cs="仿宋_GB2312"/>
          <w:b/>
          <w:color w:val="000000" w:themeColor="text1"/>
          <w:kern w:val="2"/>
          <w:sz w:val="32"/>
          <w:szCs w:val="32"/>
        </w:rPr>
      </w:pPr>
      <w:r>
        <w:rPr>
          <w:rFonts w:hint="eastAsia" w:ascii="仿宋" w:hAnsi="仿宋" w:eastAsia="仿宋" w:cs="仿宋_GB2312"/>
          <w:b/>
          <w:color w:val="000000" w:themeColor="text1"/>
          <w:kern w:val="2"/>
          <w:sz w:val="32"/>
          <w:szCs w:val="32"/>
        </w:rPr>
        <w:t>6.1经费</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2018年获得国家财政中职教育提升及基础能力建设专项资金42.7万元。用于修建学生公寓A栋护坡工程项目，改善了学生的住宿条件。</w:t>
      </w:r>
    </w:p>
    <w:p>
      <w:pPr>
        <w:ind w:firstLine="640" w:firstLineChars="200"/>
        <w:rPr>
          <w:rFonts w:ascii="仿宋" w:hAnsi="仿宋" w:eastAsia="仿宋" w:cs="仿宋_GB2312"/>
          <w:color w:val="FF0000"/>
          <w:sz w:val="32"/>
          <w:szCs w:val="32"/>
        </w:rPr>
      </w:pPr>
      <w:r>
        <w:rPr>
          <w:rFonts w:hint="eastAsia" w:ascii="仿宋" w:hAnsi="仿宋" w:eastAsia="仿宋" w:cstheme="minorEastAsia"/>
          <w:sz w:val="32"/>
          <w:szCs w:val="32"/>
        </w:rPr>
        <w:t>2018年学校自筹资金80万元，用于修建航空专业实训飞机模型，学生掌握专业技能提供了充足的实训条件。学校自筹资金15万元，用于修建室内体育场馆。学生教学硬件、住宿设施投入约70万元，改善学校内部环境资金投入约100万元。</w:t>
      </w:r>
    </w:p>
    <w:p>
      <w:pPr>
        <w:pStyle w:val="6"/>
        <w:shd w:val="clear" w:color="auto" w:fill="FFFFFF"/>
        <w:spacing w:before="0" w:beforeAutospacing="0" w:after="75" w:afterAutospacing="0" w:line="400" w:lineRule="atLeast"/>
        <w:ind w:firstLine="643" w:firstLineChars="200"/>
        <w:rPr>
          <w:rFonts w:ascii="仿宋" w:hAnsi="仿宋" w:eastAsia="仿宋" w:cs="仿宋_GB2312"/>
          <w:b/>
          <w:kern w:val="2"/>
          <w:sz w:val="32"/>
          <w:szCs w:val="32"/>
        </w:rPr>
      </w:pPr>
      <w:r>
        <w:rPr>
          <w:rFonts w:hint="eastAsia" w:ascii="仿宋" w:hAnsi="仿宋" w:eastAsia="仿宋" w:cs="仿宋_GB2312"/>
          <w:b/>
          <w:kern w:val="2"/>
          <w:sz w:val="32"/>
          <w:szCs w:val="32"/>
        </w:rPr>
        <w:t>6.2政策措施</w:t>
      </w:r>
    </w:p>
    <w:p>
      <w:pPr>
        <w:pStyle w:val="6"/>
        <w:shd w:val="clear" w:color="auto" w:fill="FFFFFF"/>
        <w:spacing w:before="0" w:beforeAutospacing="0" w:after="75" w:afterAutospacing="0" w:line="400" w:lineRule="atLeas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我校高度重视课程建设工作和提高教师业务水平工作。每年设立教学研究和教学改革项目，提升学校办学水平。加强课程建设的组织领导，保证课程建设工作的有效开展。加大经费投入力度，为课程建设提供必要的经费支持。</w:t>
      </w:r>
    </w:p>
    <w:p>
      <w:pPr>
        <w:pStyle w:val="6"/>
        <w:shd w:val="clear" w:color="auto" w:fill="FFFFFF"/>
        <w:spacing w:before="0" w:beforeAutospacing="0" w:after="75" w:afterAutospacing="0" w:line="400" w:lineRule="atLeas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加强教师队伍建设，不断提高教学水平。为进一步加强教师队伍建设，学校注意引进学术水平和教学水平“双高”的主讲教师；鼓励并投入专项经费支持在职教师进行短期进修，不断提高教学科研水平；充分开发利用校内教学资源，加强对青年教师的指导和帮助，迅速提高青年教师的教学水平；巩固现代教育技术培训取得的成果，开办现代教育技术高级培训班，全面提高教师运用现代教育技术改革教学方法、手段的能力；在增加兼职教师数量的同时，提高外聘教师的质量。</w:t>
      </w:r>
      <w:r>
        <w:rPr>
          <w:rFonts w:hint="eastAsia"/>
          <w:kern w:val="2"/>
          <w:sz w:val="32"/>
          <w:szCs w:val="32"/>
        </w:rPr>
        <w:t> </w:t>
      </w:r>
      <w:r>
        <w:rPr>
          <w:rFonts w:hint="eastAsia" w:ascii="仿宋" w:hAnsi="仿宋" w:eastAsia="仿宋" w:cs="仿宋_GB2312"/>
          <w:kern w:val="2"/>
          <w:sz w:val="32"/>
          <w:szCs w:val="32"/>
        </w:rPr>
        <w:t>强化教改立项研究内容与课程建设的有机结合，不断更新课程建设内容。深化教学改革是加强课程建设的核心，是提高课程建设水平的源泉，为使课程建设内容不断更新，学校重点支持与课程建设关系密切的，以改革教学内容、课程体系、教学方法、教学手段和方式等为内容（含实践教学）的研究项目，使先进的教学经验和教改成果及时融入课程建设之中，从而不断提高课程建设水平。</w:t>
      </w:r>
      <w:r>
        <w:rPr>
          <w:rFonts w:hint="eastAsia"/>
          <w:kern w:val="2"/>
          <w:sz w:val="32"/>
          <w:szCs w:val="32"/>
        </w:rPr>
        <w:t> </w:t>
      </w:r>
    </w:p>
    <w:p>
      <w:pPr>
        <w:pStyle w:val="6"/>
        <w:shd w:val="clear" w:color="auto" w:fill="FFFFFF"/>
        <w:spacing w:before="0" w:beforeAutospacing="0" w:after="75" w:afterAutospacing="0" w:line="400" w:lineRule="atLeas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建立科学合理的管理机制，确保课程建设质量。建立有效的激励机制，鼓励教师积极参加课程建设。学校把课程建设纳入教学工作考核、奖励范畴，建立相应的激励机制。</w:t>
      </w:r>
    </w:p>
    <w:p>
      <w:pPr>
        <w:pStyle w:val="6"/>
        <w:numPr>
          <w:ilvl w:val="0"/>
          <w:numId w:val="2"/>
        </w:numPr>
        <w:shd w:val="clear" w:color="auto" w:fill="FFFFFF"/>
        <w:spacing w:before="0" w:beforeAutospacing="0" w:after="75" w:afterAutospacing="0" w:line="400" w:lineRule="atLeast"/>
        <w:rPr>
          <w:rFonts w:ascii="仿宋" w:hAnsi="仿宋" w:eastAsia="仿宋" w:cs="仿宋_GB2312"/>
          <w:b/>
          <w:bCs/>
          <w:kern w:val="2"/>
          <w:sz w:val="36"/>
          <w:szCs w:val="36"/>
        </w:rPr>
      </w:pPr>
      <w:r>
        <w:rPr>
          <w:rFonts w:hint="eastAsia" w:ascii="仿宋" w:hAnsi="仿宋" w:eastAsia="仿宋" w:cs="仿宋_GB2312"/>
          <w:b/>
          <w:bCs/>
          <w:kern w:val="2"/>
          <w:sz w:val="36"/>
          <w:szCs w:val="36"/>
        </w:rPr>
        <w:t>特色创新</w:t>
      </w:r>
    </w:p>
    <w:p>
      <w:pPr>
        <w:ind w:firstLine="643" w:firstLineChars="200"/>
        <w:rPr>
          <w:rFonts w:ascii="仿宋" w:hAnsi="仿宋" w:eastAsia="仿宋" w:cs="仿宋"/>
          <w:b/>
          <w:sz w:val="32"/>
          <w:szCs w:val="32"/>
        </w:rPr>
      </w:pPr>
      <w:r>
        <w:rPr>
          <w:rFonts w:hint="eastAsia" w:ascii="仿宋" w:hAnsi="仿宋" w:eastAsia="仿宋" w:cs="仿宋"/>
          <w:b/>
          <w:sz w:val="32"/>
          <w:szCs w:val="32"/>
        </w:rPr>
        <w:t>开设情商教育课程</w:t>
      </w:r>
    </w:p>
    <w:p>
      <w:pPr>
        <w:ind w:firstLine="640" w:firstLineChars="200"/>
        <w:rPr>
          <w:rFonts w:ascii="仿宋" w:hAnsi="仿宋" w:eastAsia="仿宋" w:cs="仿宋"/>
          <w:sz w:val="32"/>
          <w:szCs w:val="32"/>
        </w:rPr>
      </w:pPr>
      <w:r>
        <w:rPr>
          <w:rFonts w:hint="eastAsia" w:ascii="仿宋" w:hAnsi="仿宋" w:eastAsia="仿宋" w:cs="仿宋"/>
          <w:sz w:val="32"/>
          <w:szCs w:val="32"/>
        </w:rPr>
        <w:t>为了培养学生控制情绪、与他人相处的能力，学校成立了情商教研室，目前教研室成员共4人。针对于我校学生的实际情况编写出符合我校学生使用情商教材。</w:t>
      </w:r>
    </w:p>
    <w:p>
      <w:pPr>
        <w:ind w:firstLine="643" w:firstLineChars="200"/>
        <w:rPr>
          <w:rFonts w:ascii="仿宋" w:hAnsi="仿宋" w:eastAsia="仿宋" w:cs="仿宋"/>
          <w:b/>
          <w:sz w:val="32"/>
          <w:szCs w:val="32"/>
        </w:rPr>
      </w:pPr>
      <w:r>
        <w:rPr>
          <w:rFonts w:hint="eastAsia" w:ascii="仿宋" w:hAnsi="仿宋" w:eastAsia="仿宋" w:cs="仿宋"/>
          <w:b/>
          <w:sz w:val="32"/>
          <w:szCs w:val="32"/>
        </w:rPr>
        <w:t>实行全军事化管理</w:t>
      </w:r>
    </w:p>
    <w:p>
      <w:pPr>
        <w:ind w:firstLine="640" w:firstLineChars="200"/>
        <w:rPr>
          <w:rFonts w:ascii="仿宋" w:hAnsi="仿宋" w:eastAsia="仿宋" w:cs="仿宋"/>
          <w:sz w:val="32"/>
          <w:szCs w:val="32"/>
        </w:rPr>
      </w:pPr>
      <w:r>
        <w:rPr>
          <w:rFonts w:hint="eastAsia" w:ascii="仿宋" w:hAnsi="仿宋" w:eastAsia="仿宋" w:cs="仿宋"/>
          <w:sz w:val="32"/>
          <w:szCs w:val="32"/>
        </w:rPr>
        <w:t>为了全面贯彻落实习近平总书记在十九大报告中关于“加强全民国防教育，巩固军政军民团结，为实现中国梦强军梦凝聚强大力量”的讲话，2017年12月我校与四川国防教育学院签订了联合办学协议，共同举办“国防后备人才培养班”，在全校实行军事化管理。在此基础上，学校内务管理水平也达到标准化、常态化。</w:t>
      </w:r>
    </w:p>
    <w:p>
      <w:pPr>
        <w:pStyle w:val="6"/>
        <w:shd w:val="clear" w:color="auto" w:fill="FFFFFF"/>
        <w:spacing w:before="0" w:beforeAutospacing="0" w:after="75" w:afterAutospacing="0" w:line="400" w:lineRule="atLeast"/>
        <w:rPr>
          <w:rFonts w:ascii="仿宋" w:hAnsi="仿宋" w:eastAsia="仿宋" w:cs="仿宋_GB2312"/>
          <w:b/>
          <w:bCs/>
          <w:kern w:val="2"/>
          <w:sz w:val="32"/>
          <w:szCs w:val="32"/>
        </w:rPr>
      </w:pPr>
      <w:r>
        <w:rPr>
          <w:rFonts w:hint="eastAsia" w:ascii="仿宋" w:hAnsi="仿宋" w:eastAsia="仿宋" w:cs="仿宋_GB2312"/>
          <w:b/>
          <w:bCs/>
          <w:kern w:val="2"/>
          <w:sz w:val="32"/>
          <w:szCs w:val="32"/>
        </w:rPr>
        <w:t>案例一：</w:t>
      </w:r>
    </w:p>
    <w:p>
      <w:pPr>
        <w:jc w:val="center"/>
        <w:rPr>
          <w:rFonts w:ascii="仿宋" w:hAnsi="仿宋" w:eastAsia="仿宋"/>
          <w:sz w:val="32"/>
          <w:szCs w:val="32"/>
        </w:rPr>
      </w:pPr>
      <w:r>
        <w:rPr>
          <w:rFonts w:hint="eastAsia" w:ascii="仿宋" w:hAnsi="仿宋" w:eastAsia="仿宋"/>
          <w:sz w:val="32"/>
          <w:szCs w:val="32"/>
        </w:rPr>
        <w:t>探索校企合作、产教融合的办学模式</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一、实施背景</w:t>
      </w:r>
    </w:p>
    <w:p>
      <w:pPr>
        <w:ind w:firstLine="645"/>
        <w:rPr>
          <w:rFonts w:ascii="仿宋" w:hAnsi="仿宋" w:eastAsia="仿宋"/>
          <w:sz w:val="32"/>
          <w:szCs w:val="32"/>
        </w:rPr>
      </w:pPr>
      <w:r>
        <w:rPr>
          <w:rFonts w:hint="eastAsia" w:ascii="仿宋" w:hAnsi="仿宋" w:eastAsia="仿宋"/>
          <w:sz w:val="32"/>
          <w:szCs w:val="32"/>
        </w:rPr>
        <w:t>职业教育实际上是从业前的教育，如何让学生的就业观与用人单位的用人观相吻合，这是当前职业教育工作者需要探讨的问题。学校首先要确立“以企业为中心”的观念，一切以社会需要和企业需要为准则，致力于发挥学校的优势和潜力去解决企业用人需求的问题。因此，加强校企合作，推进产教融合，实现校企双赢，是促进职业技术教育改革和发展的必由之路，是培养紧缺型技能实用人才强劲动力。</w:t>
      </w:r>
    </w:p>
    <w:p>
      <w:pPr>
        <w:ind w:firstLine="645"/>
        <w:rPr>
          <w:rFonts w:hint="eastAsia" w:ascii="仿宋" w:hAnsi="仿宋" w:eastAsia="仿宋"/>
          <w:sz w:val="32"/>
          <w:szCs w:val="32"/>
        </w:rPr>
      </w:pPr>
      <w:r>
        <w:rPr>
          <w:rFonts w:hint="eastAsia" w:ascii="仿宋" w:hAnsi="仿宋" w:eastAsia="仿宋"/>
          <w:sz w:val="32"/>
          <w:szCs w:val="32"/>
        </w:rPr>
        <w:t>位于南充嘉陵区的吉利四川商用车有限公司，决定遴选优秀的职业学校作为人才储备基地，我校于2016年9月开始筹备，2017年6月通过吉利四川商用车有限公司考察，被授予“吉利汽车人才培养基地” （授牌仪式见图11-1），决定于2017年9月组建“吉利工匠”远程班并授牌（见图11-2），同时为新建班级提供伍仟元奖学金（见图11-3）。</w:t>
      </w:r>
    </w:p>
    <w:p>
      <w:pPr>
        <w:spacing w:line="400" w:lineRule="exact"/>
        <w:rPr>
          <w:rFonts w:ascii="仿宋" w:hAnsi="仿宋" w:eastAsia="仿宋" w:cs="宋体"/>
          <w:szCs w:val="21"/>
        </w:rPr>
      </w:pPr>
      <w:r>
        <w:rPr>
          <w:rFonts w:hint="eastAsia" w:ascii="仿宋" w:hAnsi="仿宋" w:eastAsia="仿宋"/>
          <w:b/>
          <w:sz w:val="32"/>
          <w:szCs w:val="32"/>
        </w:rPr>
        <w:t>图11-1：</w:t>
      </w:r>
      <w:r>
        <w:rPr>
          <w:rFonts w:hint="eastAsia" w:ascii="仿宋" w:hAnsi="仿宋" w:eastAsia="仿宋" w:cs="宋体"/>
          <w:szCs w:val="21"/>
        </w:rPr>
        <w:t>吉利汽车人才培养基地授牌仪式</w:t>
      </w:r>
    </w:p>
    <w:p>
      <w:pPr>
        <w:ind w:firstLine="645"/>
        <w:jc w:val="center"/>
        <w:rPr>
          <w:rFonts w:hint="eastAsia" w:ascii="仿宋" w:hAnsi="仿宋" w:eastAsia="仿宋"/>
          <w:sz w:val="32"/>
          <w:szCs w:val="32"/>
        </w:rPr>
      </w:pPr>
      <w:r>
        <w:rPr>
          <w:rFonts w:ascii="仿宋" w:hAnsi="仿宋" w:eastAsia="仿宋"/>
          <w:sz w:val="32"/>
          <w:szCs w:val="32"/>
        </w:rPr>
        <w:drawing>
          <wp:inline distT="0" distB="0" distL="0" distR="0">
            <wp:extent cx="4603115" cy="2695575"/>
            <wp:effectExtent l="19050" t="0" r="6389"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12169" cy="2700527"/>
                    </a:xfrm>
                    <a:prstGeom prst="rect">
                      <a:avLst/>
                    </a:prstGeom>
                  </pic:spPr>
                </pic:pic>
              </a:graphicData>
            </a:graphic>
          </wp:inline>
        </w:drawing>
      </w:r>
    </w:p>
    <w:p>
      <w:pPr>
        <w:jc w:val="left"/>
        <w:rPr>
          <w:rFonts w:hint="eastAsia" w:ascii="仿宋" w:hAnsi="仿宋" w:eastAsia="仿宋"/>
          <w:sz w:val="32"/>
          <w:szCs w:val="32"/>
        </w:rPr>
      </w:pPr>
      <w:r>
        <w:rPr>
          <w:rFonts w:hint="eastAsia" w:ascii="仿宋" w:hAnsi="仿宋" w:eastAsia="仿宋"/>
          <w:b/>
          <w:sz w:val="32"/>
          <w:szCs w:val="32"/>
        </w:rPr>
        <w:t>图11-2</w:t>
      </w:r>
    </w:p>
    <w:p>
      <w:pPr>
        <w:spacing w:line="400" w:lineRule="exact"/>
        <w:rPr>
          <w:rFonts w:ascii="仿宋" w:hAnsi="仿宋" w:eastAsia="仿宋" w:cs="宋体"/>
          <w:szCs w:val="21"/>
        </w:rPr>
      </w:pPr>
      <w:r>
        <w:rPr>
          <w:rFonts w:hint="eastAsia" w:ascii="仿宋" w:hAnsi="仿宋" w:eastAsia="仿宋" w:cs="宋体"/>
          <w:szCs w:val="21"/>
        </w:rPr>
        <w:drawing>
          <wp:anchor distT="0" distB="0" distL="114300" distR="114300" simplePos="0" relativeHeight="251660288" behindDoc="0" locked="0" layoutInCell="1" allowOverlap="1">
            <wp:simplePos x="0" y="0"/>
            <wp:positionH relativeFrom="column">
              <wp:posOffset>485775</wp:posOffset>
            </wp:positionH>
            <wp:positionV relativeFrom="paragraph">
              <wp:posOffset>342900</wp:posOffset>
            </wp:positionV>
            <wp:extent cx="4646295" cy="2781300"/>
            <wp:effectExtent l="19050" t="0" r="1905" b="0"/>
            <wp:wrapTopAndBottom/>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46295" cy="2781300"/>
                    </a:xfrm>
                    <a:prstGeom prst="rect">
                      <a:avLst/>
                    </a:prstGeom>
                  </pic:spPr>
                </pic:pic>
              </a:graphicData>
            </a:graphic>
          </wp:anchor>
        </w:drawing>
      </w:r>
    </w:p>
    <w:p>
      <w:pPr>
        <w:jc w:val="left"/>
        <w:rPr>
          <w:rFonts w:hint="eastAsia" w:ascii="仿宋" w:hAnsi="仿宋" w:eastAsia="仿宋"/>
          <w:b/>
          <w:sz w:val="32"/>
          <w:szCs w:val="32"/>
        </w:rPr>
      </w:pPr>
      <w:r>
        <w:rPr>
          <w:rFonts w:hint="eastAsia" w:ascii="仿宋" w:hAnsi="仿宋" w:eastAsia="仿宋"/>
          <w:b/>
          <w:sz w:val="32"/>
          <w:szCs w:val="32"/>
        </w:rPr>
        <w:t>图11-3：</w:t>
      </w:r>
    </w:p>
    <w:p>
      <w:pPr>
        <w:jc w:val="left"/>
        <w:rPr>
          <w:rFonts w:hint="eastAsia" w:ascii="仿宋" w:hAnsi="仿宋" w:eastAsia="仿宋"/>
          <w:sz w:val="32"/>
          <w:szCs w:val="32"/>
        </w:rPr>
      </w:pPr>
      <w:r>
        <w:rPr>
          <w:rFonts w:ascii="仿宋" w:hAnsi="仿宋" w:eastAsia="仿宋"/>
          <w:sz w:val="32"/>
          <w:szCs w:val="32"/>
        </w:rPr>
        <w:drawing>
          <wp:inline distT="0" distB="0" distL="0" distR="0">
            <wp:extent cx="5343525" cy="3561715"/>
            <wp:effectExtent l="19050" t="0" r="0" b="0"/>
            <wp:docPr id="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73466" cy="3582094"/>
                    </a:xfrm>
                    <a:prstGeom prst="rect">
                      <a:avLst/>
                    </a:prstGeom>
                  </pic:spPr>
                </pic:pic>
              </a:graphicData>
            </a:graphic>
          </wp:inline>
        </w:drawing>
      </w:r>
    </w:p>
    <w:p>
      <w:pPr>
        <w:rPr>
          <w:rFonts w:ascii="仿宋" w:hAnsi="仿宋" w:eastAsia="仿宋"/>
          <w:sz w:val="32"/>
          <w:szCs w:val="32"/>
        </w:rPr>
      </w:pPr>
    </w:p>
    <w:p>
      <w:pPr>
        <w:pStyle w:val="11"/>
        <w:numPr>
          <w:ilvl w:val="0"/>
          <w:numId w:val="3"/>
        </w:numPr>
        <w:ind w:firstLineChars="0"/>
        <w:rPr>
          <w:rFonts w:ascii="仿宋" w:hAnsi="仿宋" w:eastAsia="仿宋"/>
          <w:b/>
          <w:sz w:val="30"/>
          <w:szCs w:val="30"/>
        </w:rPr>
      </w:pPr>
      <w:r>
        <w:rPr>
          <w:rFonts w:hint="eastAsia" w:ascii="仿宋" w:hAnsi="仿宋" w:eastAsia="仿宋"/>
          <w:b/>
          <w:sz w:val="30"/>
          <w:szCs w:val="30"/>
        </w:rPr>
        <w:t>建设目标</w:t>
      </w:r>
    </w:p>
    <w:p>
      <w:pPr>
        <w:ind w:firstLine="645"/>
        <w:rPr>
          <w:rFonts w:ascii="仿宋" w:hAnsi="仿宋" w:eastAsia="仿宋"/>
          <w:sz w:val="32"/>
          <w:szCs w:val="32"/>
        </w:rPr>
      </w:pPr>
      <w:r>
        <w:rPr>
          <w:rFonts w:hint="eastAsia" w:ascii="仿宋" w:hAnsi="仿宋" w:eastAsia="仿宋"/>
          <w:sz w:val="32"/>
          <w:szCs w:val="32"/>
        </w:rPr>
        <w:t>1、通过深入企业一线调研，将企业中的不同岗位工作内容进行汇总，抽离其中的知识要点，以具体的工作任务为引领，深化教学模式改革，邀请企业专家共同制定课程标准、共同撰写人才培养方案、共同编写教材。最终编写出一批具有与企业生产实践相结合的优质教材。</w:t>
      </w:r>
    </w:p>
    <w:p>
      <w:pPr>
        <w:ind w:firstLine="645"/>
        <w:rPr>
          <w:rFonts w:ascii="仿宋" w:hAnsi="仿宋" w:eastAsia="仿宋"/>
          <w:sz w:val="32"/>
          <w:szCs w:val="32"/>
        </w:rPr>
      </w:pPr>
      <w:r>
        <w:rPr>
          <w:rFonts w:hint="eastAsia" w:ascii="仿宋" w:hAnsi="仿宋" w:eastAsia="仿宋"/>
          <w:sz w:val="32"/>
          <w:szCs w:val="32"/>
        </w:rPr>
        <w:t>2、聘请企业专家进课堂，改变以往的课堂讲述方式，形成任务驱动，让做、学、教融为一体，切实让学生掌握企业所需技能。并通过多种考核进行学生综合素质评价，择优入职，最终实现校企一体、产教融合的办学新模式。</w:t>
      </w:r>
    </w:p>
    <w:p>
      <w:pPr>
        <w:pStyle w:val="11"/>
        <w:numPr>
          <w:ilvl w:val="0"/>
          <w:numId w:val="3"/>
        </w:numPr>
        <w:ind w:firstLineChars="0"/>
        <w:rPr>
          <w:rFonts w:ascii="仿宋" w:hAnsi="仿宋" w:eastAsia="仿宋"/>
          <w:b/>
          <w:sz w:val="30"/>
          <w:szCs w:val="30"/>
        </w:rPr>
      </w:pPr>
      <w:r>
        <w:rPr>
          <w:rFonts w:hint="eastAsia" w:ascii="仿宋" w:hAnsi="仿宋" w:eastAsia="仿宋"/>
          <w:b/>
          <w:sz w:val="30"/>
          <w:szCs w:val="30"/>
        </w:rPr>
        <w:t>实施方案</w:t>
      </w:r>
    </w:p>
    <w:p>
      <w:pPr>
        <w:ind w:firstLine="640" w:firstLineChars="200"/>
        <w:rPr>
          <w:rFonts w:ascii="仿宋" w:hAnsi="仿宋" w:eastAsia="仿宋" w:cs="宋体"/>
          <w:sz w:val="32"/>
          <w:szCs w:val="28"/>
        </w:rPr>
      </w:pPr>
      <w:r>
        <w:rPr>
          <w:rFonts w:hint="eastAsia" w:ascii="仿宋" w:hAnsi="仿宋" w:eastAsia="仿宋" w:cs="宋体"/>
          <w:sz w:val="32"/>
          <w:szCs w:val="28"/>
        </w:rPr>
        <w:t>1、2017年7月签定现代学徒制校企合作协议</w:t>
      </w:r>
    </w:p>
    <w:p>
      <w:pPr>
        <w:ind w:firstLine="640" w:firstLineChars="200"/>
        <w:rPr>
          <w:rFonts w:ascii="仿宋" w:hAnsi="仿宋" w:eastAsia="仿宋" w:cs="宋体"/>
          <w:sz w:val="32"/>
          <w:szCs w:val="28"/>
        </w:rPr>
      </w:pPr>
      <w:r>
        <w:rPr>
          <w:rFonts w:hint="eastAsia" w:ascii="仿宋" w:hAnsi="仿宋" w:eastAsia="仿宋" w:cs="宋体"/>
          <w:sz w:val="32"/>
          <w:szCs w:val="28"/>
        </w:rPr>
        <w:t>2、2017年8月，根据职业岗位要求的知识水平、技能等级、培养目标，制定出数学标准、课程设置、教学大纲等。并确定就读层次为大专。</w:t>
      </w:r>
    </w:p>
    <w:p>
      <w:pPr>
        <w:ind w:firstLine="640" w:firstLineChars="200"/>
        <w:rPr>
          <w:rFonts w:hint="eastAsia" w:ascii="仿宋" w:hAnsi="仿宋" w:eastAsia="仿宋" w:cs="宋体"/>
          <w:sz w:val="32"/>
          <w:szCs w:val="28"/>
        </w:rPr>
      </w:pPr>
      <w:r>
        <w:rPr>
          <w:rFonts w:hint="eastAsia" w:ascii="仿宋" w:hAnsi="仿宋" w:eastAsia="仿宋" w:cs="宋体"/>
          <w:sz w:val="32"/>
          <w:szCs w:val="28"/>
        </w:rPr>
        <w:t>3、严把招生关，入学前进行严格的笔试、面试、体检，根据“吉</w:t>
      </w:r>
      <w:r>
        <w:rPr>
          <w:rFonts w:hint="eastAsia" w:ascii="仿宋" w:hAnsi="仿宋" w:eastAsia="仿宋"/>
          <w:sz w:val="32"/>
          <w:szCs w:val="32"/>
        </w:rPr>
        <w:t>利工匠”远程班</w:t>
      </w:r>
      <w:r>
        <w:rPr>
          <w:rFonts w:hint="eastAsia" w:ascii="仿宋" w:hAnsi="仿宋" w:eastAsia="仿宋" w:cs="宋体"/>
          <w:sz w:val="32"/>
          <w:szCs w:val="28"/>
        </w:rPr>
        <w:t>采取的一签三定的运作模式（签订培养协议，定向专业、定向招生、定向就业）于2017年9月组建班级（见图12-1）。</w:t>
      </w:r>
    </w:p>
    <w:p>
      <w:pPr>
        <w:ind w:firstLine="643" w:firstLineChars="200"/>
        <w:rPr>
          <w:rFonts w:ascii="仿宋" w:hAnsi="仿宋" w:eastAsia="仿宋" w:cs="宋体"/>
          <w:b/>
          <w:sz w:val="32"/>
          <w:szCs w:val="28"/>
        </w:rPr>
      </w:pPr>
      <w:r>
        <w:rPr>
          <w:rFonts w:hint="eastAsia" w:ascii="仿宋" w:hAnsi="仿宋" w:eastAsia="仿宋" w:cs="宋体"/>
          <w:b/>
          <w:sz w:val="32"/>
          <w:szCs w:val="28"/>
        </w:rPr>
        <w:t>图12-1：</w:t>
      </w:r>
    </w:p>
    <w:p>
      <w:pPr>
        <w:ind w:firstLine="640" w:firstLineChars="200"/>
        <w:jc w:val="center"/>
        <w:rPr>
          <w:rFonts w:ascii="仿宋" w:hAnsi="仿宋" w:eastAsia="仿宋" w:cs="宋体"/>
          <w:sz w:val="32"/>
          <w:szCs w:val="28"/>
        </w:rPr>
      </w:pPr>
      <w:r>
        <w:rPr>
          <w:rFonts w:ascii="仿宋" w:hAnsi="仿宋" w:eastAsia="仿宋" w:cs="宋体"/>
          <w:sz w:val="32"/>
          <w:szCs w:val="28"/>
        </w:rPr>
        <w:drawing>
          <wp:inline distT="0" distB="0" distL="0" distR="0">
            <wp:extent cx="4513580" cy="3008630"/>
            <wp:effectExtent l="0" t="0" r="1270" b="127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35615" cy="3023561"/>
                    </a:xfrm>
                    <a:prstGeom prst="rect">
                      <a:avLst/>
                    </a:prstGeom>
                  </pic:spPr>
                </pic:pic>
              </a:graphicData>
            </a:graphic>
          </wp:inline>
        </w:drawing>
      </w:r>
    </w:p>
    <w:p>
      <w:pPr>
        <w:ind w:firstLine="640" w:firstLineChars="200"/>
        <w:rPr>
          <w:rFonts w:hint="eastAsia" w:ascii="仿宋" w:hAnsi="仿宋" w:eastAsia="仿宋" w:cs="宋体"/>
          <w:sz w:val="32"/>
          <w:szCs w:val="28"/>
        </w:rPr>
      </w:pPr>
      <w:r>
        <w:rPr>
          <w:rFonts w:hint="eastAsia" w:ascii="仿宋" w:hAnsi="仿宋" w:eastAsia="仿宋" w:cs="宋体"/>
          <w:sz w:val="32"/>
          <w:szCs w:val="28"/>
        </w:rPr>
        <w:t>4、为了突出实用性，学校将以工学交替的“教学工厂”和实践教学的“现场案例分析”的模式，强化训练学生的实际操作能力，同时导入企业要求的必修课（见图12-2）。</w:t>
      </w:r>
    </w:p>
    <w:p>
      <w:pPr>
        <w:rPr>
          <w:rFonts w:hint="eastAsia" w:ascii="仿宋" w:hAnsi="仿宋" w:eastAsia="仿宋" w:cs="宋体"/>
          <w:sz w:val="32"/>
          <w:szCs w:val="28"/>
        </w:rPr>
      </w:pPr>
    </w:p>
    <w:p>
      <w:pPr>
        <w:ind w:firstLine="643" w:firstLineChars="200"/>
        <w:rPr>
          <w:rFonts w:ascii="仿宋" w:hAnsi="仿宋" w:eastAsia="仿宋" w:cs="宋体"/>
          <w:b/>
          <w:sz w:val="32"/>
          <w:szCs w:val="28"/>
        </w:rPr>
      </w:pPr>
      <w:r>
        <w:rPr>
          <w:rFonts w:hint="eastAsia" w:ascii="仿宋" w:hAnsi="仿宋" w:eastAsia="仿宋" w:cs="宋体"/>
          <w:b/>
          <w:sz w:val="32"/>
          <w:szCs w:val="28"/>
        </w:rPr>
        <w:t>图12-2：</w:t>
      </w:r>
    </w:p>
    <w:p>
      <w:pPr>
        <w:widowControl/>
        <w:jc w:val="center"/>
        <w:rPr>
          <w:rFonts w:hint="eastAsia" w:ascii="仿宋" w:hAnsi="仿宋" w:eastAsia="仿宋" w:cs="宋体"/>
          <w:kern w:val="0"/>
          <w:sz w:val="24"/>
        </w:rPr>
      </w:pPr>
      <w:r>
        <w:rPr>
          <w:rFonts w:ascii="仿宋" w:hAnsi="仿宋" w:eastAsia="仿宋" w:cs="宋体"/>
          <w:kern w:val="0"/>
          <w:sz w:val="24"/>
        </w:rPr>
        <w:drawing>
          <wp:inline distT="0" distB="0" distL="0" distR="0">
            <wp:extent cx="5195570" cy="2428875"/>
            <wp:effectExtent l="19050" t="0" r="4886" b="0"/>
            <wp:docPr id="24" name="图片 11" descr="C:\Users\Administrator\AppData\Roaming\Tencent\Users\308672387\QQ\WinTemp\RichOle\]{GJQNUOZ{TTD[FWB@%R3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C:\Users\Administrator\AppData\Roaming\Tencent\Users\308672387\QQ\WinTemp\RichOle\]{GJQNUOZ{TTD[FWB@%R35W.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195764" cy="2428875"/>
                    </a:xfrm>
                    <a:prstGeom prst="rect">
                      <a:avLst/>
                    </a:prstGeom>
                    <a:noFill/>
                    <a:ln>
                      <a:noFill/>
                    </a:ln>
                  </pic:spPr>
                </pic:pic>
              </a:graphicData>
            </a:graphic>
          </wp:inline>
        </w:drawing>
      </w:r>
    </w:p>
    <w:p>
      <w:pPr>
        <w:widowControl/>
        <w:jc w:val="center"/>
        <w:rPr>
          <w:rFonts w:ascii="仿宋" w:hAnsi="仿宋" w:eastAsia="仿宋" w:cs="宋体"/>
          <w:kern w:val="0"/>
          <w:sz w:val="24"/>
        </w:rPr>
      </w:pPr>
    </w:p>
    <w:p>
      <w:pPr>
        <w:ind w:firstLine="640" w:firstLineChars="200"/>
        <w:rPr>
          <w:rFonts w:ascii="仿宋" w:hAnsi="仿宋" w:eastAsia="仿宋" w:cs="宋体"/>
          <w:sz w:val="32"/>
          <w:szCs w:val="28"/>
        </w:rPr>
      </w:pPr>
      <w:r>
        <w:rPr>
          <w:rFonts w:hint="eastAsia" w:ascii="仿宋" w:hAnsi="仿宋" w:eastAsia="仿宋" w:cs="宋体"/>
          <w:sz w:val="32"/>
          <w:szCs w:val="28"/>
        </w:rPr>
        <w:t>5、学校将根据教学计划及企业的生产计划，安排学生到企业参观，同时进行现场教学。</w:t>
      </w:r>
    </w:p>
    <w:p>
      <w:pPr>
        <w:ind w:firstLine="640" w:firstLineChars="200"/>
        <w:rPr>
          <w:rFonts w:ascii="仿宋" w:hAnsi="仿宋" w:eastAsia="仿宋"/>
          <w:sz w:val="32"/>
          <w:szCs w:val="32"/>
        </w:rPr>
      </w:pPr>
      <w:r>
        <w:rPr>
          <w:rFonts w:hint="eastAsia" w:ascii="仿宋" w:hAnsi="仿宋" w:eastAsia="仿宋" w:cs="宋体"/>
          <w:sz w:val="32"/>
          <w:szCs w:val="28"/>
        </w:rPr>
        <w:t>6、安排教师下企业实践、锻炼，并</w:t>
      </w:r>
      <w:r>
        <w:rPr>
          <w:rFonts w:hint="eastAsia" w:ascii="仿宋" w:hAnsi="仿宋" w:eastAsia="仿宋"/>
          <w:sz w:val="32"/>
          <w:szCs w:val="32"/>
        </w:rPr>
        <w:t>聘请企业专家进课堂，定期召开教学研讨会，总结经验、扬长避短。</w:t>
      </w:r>
    </w:p>
    <w:p>
      <w:pPr>
        <w:ind w:firstLine="640" w:firstLineChars="200"/>
        <w:rPr>
          <w:rFonts w:ascii="仿宋" w:hAnsi="仿宋" w:eastAsia="仿宋" w:cs="宋体"/>
          <w:sz w:val="32"/>
          <w:szCs w:val="28"/>
        </w:rPr>
      </w:pPr>
      <w:r>
        <w:rPr>
          <w:rFonts w:hint="eastAsia" w:ascii="仿宋" w:hAnsi="仿宋" w:eastAsia="仿宋"/>
          <w:sz w:val="32"/>
          <w:szCs w:val="32"/>
        </w:rPr>
        <w:t>7、学生</w:t>
      </w:r>
      <w:r>
        <w:rPr>
          <w:rFonts w:hint="eastAsia" w:ascii="仿宋" w:hAnsi="仿宋" w:eastAsia="仿宋" w:cs="宋体"/>
          <w:sz w:val="32"/>
          <w:szCs w:val="28"/>
        </w:rPr>
        <w:t xml:space="preserve">顶岗实习，必须按企业制度进行严格的考核，学生就业时，也必须进行严格的笔试、面试、体检等。对于成绩特别优秀的学生，可以考虑有晋升机会时优先处理。 </w:t>
      </w:r>
    </w:p>
    <w:p>
      <w:pPr>
        <w:ind w:firstLine="640" w:firstLineChars="200"/>
        <w:rPr>
          <w:rFonts w:ascii="仿宋" w:hAnsi="仿宋" w:eastAsia="仿宋" w:cs="宋体"/>
          <w:sz w:val="32"/>
          <w:szCs w:val="28"/>
        </w:rPr>
      </w:pPr>
      <w:r>
        <w:rPr>
          <w:rFonts w:hint="eastAsia" w:ascii="仿宋" w:hAnsi="仿宋" w:eastAsia="仿宋" w:cs="宋体"/>
          <w:sz w:val="32"/>
          <w:szCs w:val="28"/>
        </w:rPr>
        <w:t>8、根据专业课程特点，聘请企业行业专家与学校教师共同组建“专业教学指导委员会”。</w:t>
      </w:r>
    </w:p>
    <w:p>
      <w:pPr>
        <w:rPr>
          <w:rFonts w:ascii="仿宋" w:hAnsi="仿宋" w:eastAsia="仿宋"/>
          <w:b/>
          <w:sz w:val="30"/>
          <w:szCs w:val="30"/>
        </w:rPr>
      </w:pPr>
      <w:r>
        <w:rPr>
          <w:rFonts w:hint="eastAsia" w:ascii="仿宋" w:hAnsi="仿宋" w:eastAsia="仿宋"/>
          <w:b/>
          <w:sz w:val="30"/>
          <w:szCs w:val="30"/>
        </w:rPr>
        <w:t>四、预期成效</w:t>
      </w:r>
    </w:p>
    <w:p>
      <w:pPr>
        <w:rPr>
          <w:rFonts w:ascii="仿宋" w:hAnsi="仿宋" w:eastAsia="仿宋"/>
          <w:b/>
          <w:sz w:val="30"/>
          <w:szCs w:val="30"/>
        </w:rPr>
      </w:pPr>
      <w:r>
        <w:rPr>
          <w:rFonts w:hint="eastAsia" w:ascii="仿宋" w:hAnsi="仿宋" w:eastAsia="仿宋"/>
          <w:b/>
          <w:sz w:val="30"/>
          <w:szCs w:val="30"/>
        </w:rPr>
        <w:t>（一）企业预期成效</w:t>
      </w:r>
    </w:p>
    <w:p>
      <w:pPr>
        <w:ind w:firstLine="640" w:firstLineChars="200"/>
        <w:rPr>
          <w:rFonts w:ascii="仿宋" w:hAnsi="仿宋" w:eastAsia="仿宋" w:cs="宋体"/>
          <w:sz w:val="32"/>
          <w:szCs w:val="28"/>
        </w:rPr>
      </w:pPr>
      <w:r>
        <w:rPr>
          <w:rFonts w:hint="eastAsia" w:ascii="仿宋" w:hAnsi="仿宋" w:eastAsia="仿宋" w:cs="宋体"/>
          <w:sz w:val="32"/>
          <w:szCs w:val="28"/>
        </w:rPr>
        <w:t>1、可以解决企业招工难的迫切问题。</w:t>
      </w:r>
    </w:p>
    <w:p>
      <w:pPr>
        <w:ind w:firstLine="640" w:firstLineChars="200"/>
        <w:rPr>
          <w:rFonts w:ascii="仿宋" w:hAnsi="仿宋" w:eastAsia="仿宋" w:cs="宋体"/>
          <w:sz w:val="32"/>
          <w:szCs w:val="28"/>
        </w:rPr>
      </w:pPr>
      <w:r>
        <w:rPr>
          <w:rFonts w:hint="eastAsia" w:ascii="仿宋" w:hAnsi="仿宋" w:eastAsia="仿宋" w:cs="宋体"/>
          <w:sz w:val="32"/>
          <w:szCs w:val="28"/>
        </w:rPr>
        <w:t>2、可以优先挑选录用顶岗实习中表现出色的学生，有利于提高员工素质，保障产品质量。</w:t>
      </w:r>
    </w:p>
    <w:p>
      <w:pPr>
        <w:ind w:firstLine="640" w:firstLineChars="200"/>
        <w:rPr>
          <w:rFonts w:ascii="仿宋" w:hAnsi="仿宋" w:eastAsia="仿宋" w:cs="宋体"/>
          <w:sz w:val="32"/>
          <w:szCs w:val="28"/>
        </w:rPr>
      </w:pPr>
      <w:r>
        <w:rPr>
          <w:rFonts w:hint="eastAsia" w:ascii="仿宋" w:hAnsi="仿宋" w:eastAsia="仿宋" w:cs="宋体"/>
          <w:sz w:val="32"/>
          <w:szCs w:val="28"/>
        </w:rPr>
        <w:t>3、联办企业可以利用学校教师的专业优势进行新产品的设计、包装、销售等，增加获利点。</w:t>
      </w:r>
    </w:p>
    <w:p>
      <w:pPr>
        <w:ind w:firstLine="640" w:firstLineChars="200"/>
        <w:rPr>
          <w:rFonts w:ascii="仿宋" w:hAnsi="仿宋" w:eastAsia="仿宋" w:cs="宋体"/>
          <w:sz w:val="32"/>
          <w:szCs w:val="28"/>
        </w:rPr>
      </w:pPr>
      <w:r>
        <w:rPr>
          <w:rFonts w:hint="eastAsia" w:ascii="仿宋" w:hAnsi="仿宋" w:eastAsia="仿宋" w:cs="宋体"/>
          <w:sz w:val="32"/>
          <w:szCs w:val="28"/>
        </w:rPr>
        <w:t>4、联办企业可以通过设立冠名班等方式，传播企业文化，提升企业品牌和无资产</w:t>
      </w:r>
    </w:p>
    <w:p>
      <w:pPr>
        <w:rPr>
          <w:rFonts w:ascii="仿宋" w:hAnsi="仿宋" w:eastAsia="仿宋"/>
          <w:b/>
          <w:sz w:val="30"/>
          <w:szCs w:val="30"/>
        </w:rPr>
      </w:pPr>
      <w:r>
        <w:rPr>
          <w:rFonts w:hint="eastAsia" w:ascii="仿宋" w:hAnsi="仿宋" w:eastAsia="仿宋"/>
          <w:b/>
          <w:sz w:val="30"/>
          <w:szCs w:val="30"/>
        </w:rPr>
        <w:t>（二）学校预期成效</w:t>
      </w:r>
    </w:p>
    <w:p>
      <w:pPr>
        <w:ind w:firstLine="640" w:firstLineChars="200"/>
        <w:rPr>
          <w:rFonts w:ascii="仿宋" w:hAnsi="仿宋" w:eastAsia="仿宋" w:cs="宋体"/>
          <w:sz w:val="32"/>
          <w:szCs w:val="28"/>
        </w:rPr>
      </w:pPr>
      <w:r>
        <w:rPr>
          <w:rFonts w:hint="eastAsia" w:ascii="仿宋" w:hAnsi="仿宋" w:eastAsia="仿宋" w:cs="宋体"/>
          <w:sz w:val="32"/>
          <w:szCs w:val="28"/>
        </w:rPr>
        <w:t>1、学生到企业参加实践教学，可以减少学校对实习实训设备的投入。</w:t>
      </w:r>
    </w:p>
    <w:p>
      <w:pPr>
        <w:ind w:firstLine="640" w:firstLineChars="200"/>
        <w:rPr>
          <w:rFonts w:ascii="仿宋" w:hAnsi="仿宋" w:eastAsia="仿宋" w:cs="宋体"/>
          <w:sz w:val="32"/>
          <w:szCs w:val="28"/>
        </w:rPr>
      </w:pPr>
      <w:r>
        <w:rPr>
          <w:rFonts w:hint="eastAsia" w:ascii="仿宋" w:hAnsi="仿宋" w:eastAsia="仿宋" w:cs="宋体"/>
          <w:sz w:val="32"/>
          <w:szCs w:val="28"/>
        </w:rPr>
        <w:t>2、企业中具有实践经验的专业实习指导教师的加入，有效的解决了学校对专业人才的需求。</w:t>
      </w:r>
    </w:p>
    <w:p>
      <w:pPr>
        <w:ind w:firstLine="640" w:firstLineChars="200"/>
        <w:rPr>
          <w:rFonts w:ascii="仿宋" w:hAnsi="仿宋" w:eastAsia="仿宋" w:cs="宋体"/>
          <w:sz w:val="32"/>
          <w:szCs w:val="28"/>
        </w:rPr>
      </w:pPr>
      <w:r>
        <w:rPr>
          <w:rFonts w:hint="eastAsia" w:ascii="仿宋" w:hAnsi="仿宋" w:eastAsia="仿宋" w:cs="宋体"/>
          <w:sz w:val="32"/>
          <w:szCs w:val="28"/>
        </w:rPr>
        <w:t>3、对学校的就业，产生一个品牌效应。</w:t>
      </w:r>
    </w:p>
    <w:p>
      <w:pPr>
        <w:rPr>
          <w:rFonts w:ascii="仿宋" w:hAnsi="仿宋" w:eastAsia="仿宋"/>
          <w:b/>
          <w:sz w:val="30"/>
          <w:szCs w:val="30"/>
        </w:rPr>
      </w:pPr>
      <w:r>
        <w:rPr>
          <w:rFonts w:hint="eastAsia" w:ascii="仿宋" w:hAnsi="仿宋" w:eastAsia="仿宋"/>
          <w:b/>
          <w:sz w:val="30"/>
          <w:szCs w:val="30"/>
        </w:rPr>
        <w:t>（三）个人预期成效</w:t>
      </w:r>
    </w:p>
    <w:p>
      <w:pPr>
        <w:ind w:firstLine="640" w:firstLineChars="200"/>
        <w:rPr>
          <w:rFonts w:ascii="仿宋" w:hAnsi="仿宋" w:eastAsia="仿宋" w:cs="宋体"/>
          <w:sz w:val="32"/>
          <w:szCs w:val="28"/>
        </w:rPr>
      </w:pPr>
      <w:r>
        <w:rPr>
          <w:rFonts w:hint="eastAsia" w:ascii="仿宋" w:hAnsi="仿宋" w:eastAsia="仿宋" w:cs="宋体"/>
          <w:sz w:val="32"/>
          <w:szCs w:val="28"/>
        </w:rPr>
        <w:t>1、可以实现学与做的真正融合，不至于脱节，为今后的就业、创业打下了坚实的专业技能基础。</w:t>
      </w:r>
    </w:p>
    <w:p>
      <w:pPr>
        <w:ind w:firstLine="640" w:firstLineChars="200"/>
        <w:rPr>
          <w:rFonts w:ascii="仿宋" w:hAnsi="仿宋" w:eastAsia="仿宋"/>
        </w:rPr>
      </w:pPr>
      <w:r>
        <w:rPr>
          <w:rFonts w:hint="eastAsia" w:ascii="仿宋" w:hAnsi="仿宋" w:eastAsia="仿宋" w:cs="宋体"/>
          <w:sz w:val="32"/>
          <w:szCs w:val="28"/>
        </w:rPr>
        <w:t>2、学生学以致用，与企业无缝对接，毕业即就业，避免了失业的可能。</w:t>
      </w:r>
    </w:p>
    <w:p>
      <w:pPr>
        <w:widowControl/>
        <w:spacing w:before="100" w:beforeAutospacing="1" w:after="100" w:afterAutospacing="1" w:line="555" w:lineRule="atLeast"/>
        <w:jc w:val="left"/>
        <w:rPr>
          <w:rFonts w:ascii="仿宋" w:hAnsi="仿宋" w:eastAsia="仿宋" w:cs="仿宋_GB2312"/>
          <w:b/>
          <w:bCs/>
          <w:color w:val="000000"/>
          <w:kern w:val="0"/>
          <w:sz w:val="36"/>
          <w:szCs w:val="36"/>
        </w:rPr>
      </w:pPr>
      <w:r>
        <w:rPr>
          <w:rFonts w:hint="eastAsia" w:ascii="仿宋" w:hAnsi="仿宋" w:eastAsia="仿宋" w:cs="仿宋_GB2312"/>
          <w:b/>
          <w:bCs/>
          <w:color w:val="000000"/>
          <w:kern w:val="0"/>
          <w:sz w:val="36"/>
          <w:szCs w:val="36"/>
        </w:rPr>
        <w:t>八、主要问题和改进措施</w:t>
      </w:r>
    </w:p>
    <w:p>
      <w:pPr>
        <w:pStyle w:val="6"/>
        <w:spacing w:before="0" w:beforeAutospacing="0" w:after="0" w:afterAutospacing="0" w:line="360" w:lineRule="auto"/>
        <w:rPr>
          <w:rFonts w:ascii="仿宋" w:hAnsi="仿宋" w:eastAsia="仿宋"/>
          <w:b/>
          <w:color w:val="000000" w:themeColor="text1"/>
          <w:sz w:val="30"/>
          <w:szCs w:val="30"/>
        </w:rPr>
      </w:pPr>
      <w:r>
        <w:rPr>
          <w:rFonts w:hint="eastAsia" w:ascii="仿宋" w:hAnsi="仿宋" w:eastAsia="仿宋"/>
          <w:b/>
          <w:color w:val="000000" w:themeColor="text1"/>
          <w:sz w:val="30"/>
          <w:szCs w:val="30"/>
        </w:rPr>
        <w:t>（</w:t>
      </w:r>
      <w:r>
        <w:rPr>
          <w:rFonts w:hint="eastAsia" w:ascii="仿宋" w:hAnsi="仿宋" w:eastAsia="仿宋"/>
          <w:b/>
          <w:color w:val="000000" w:themeColor="text1"/>
          <w:sz w:val="30"/>
          <w:szCs w:val="30"/>
          <w:lang w:eastAsia="zh-CN"/>
        </w:rPr>
        <w:t>一</w:t>
      </w:r>
      <w:r>
        <w:rPr>
          <w:rFonts w:hint="eastAsia" w:ascii="仿宋" w:hAnsi="仿宋" w:eastAsia="仿宋"/>
          <w:b/>
          <w:color w:val="000000" w:themeColor="text1"/>
          <w:sz w:val="30"/>
          <w:szCs w:val="30"/>
        </w:rPr>
        <w:t>）</w:t>
      </w:r>
      <w:r>
        <w:rPr>
          <w:rFonts w:hint="eastAsia" w:ascii="仿宋" w:hAnsi="仿宋" w:eastAsia="仿宋"/>
          <w:b/>
          <w:color w:val="000000" w:themeColor="text1"/>
          <w:sz w:val="30"/>
          <w:szCs w:val="30"/>
          <w:lang w:eastAsia="zh-CN"/>
        </w:rPr>
        <w:t>人才培养中</w:t>
      </w:r>
      <w:r>
        <w:rPr>
          <w:rFonts w:hint="eastAsia" w:ascii="仿宋" w:hAnsi="仿宋" w:eastAsia="仿宋"/>
          <w:b/>
          <w:color w:val="000000" w:themeColor="text1"/>
          <w:sz w:val="30"/>
          <w:szCs w:val="30"/>
        </w:rPr>
        <w:t>存</w:t>
      </w:r>
      <w:r>
        <w:rPr>
          <w:rFonts w:ascii="仿宋" w:hAnsi="仿宋" w:eastAsia="仿宋"/>
          <w:b/>
          <w:color w:val="000000" w:themeColor="text1"/>
          <w:sz w:val="30"/>
          <w:szCs w:val="30"/>
        </w:rPr>
        <w:t>在问题</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1、没有构成有效专业群，没有形成专业特色品牌，对学生家长吸引力不够，招生难度大。</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 xml:space="preserve">2、技能型教师仍有不足，缺少实习实训指导教师和专业课教师。 </w:t>
      </w:r>
      <w:bookmarkStart w:id="8" w:name="_Toc503174900"/>
      <w:bookmarkStart w:id="9" w:name="_Toc491878195"/>
    </w:p>
    <w:p>
      <w:pPr>
        <w:pStyle w:val="6"/>
        <w:spacing w:before="0" w:beforeAutospacing="0" w:after="0" w:afterAutospacing="0" w:line="360" w:lineRule="auto"/>
        <w:rPr>
          <w:rFonts w:hint="eastAsia" w:ascii="仿宋" w:hAnsi="仿宋" w:eastAsia="仿宋"/>
          <w:b/>
          <w:bCs/>
          <w:color w:val="000000" w:themeColor="text1"/>
          <w:sz w:val="30"/>
          <w:szCs w:val="30"/>
          <w:lang w:eastAsia="zh-CN"/>
        </w:rPr>
      </w:pPr>
      <w:r>
        <w:rPr>
          <w:rFonts w:hint="eastAsia" w:ascii="仿宋" w:hAnsi="仿宋" w:eastAsia="仿宋"/>
          <w:b/>
          <w:bCs/>
          <w:color w:val="000000" w:themeColor="text1"/>
          <w:sz w:val="30"/>
          <w:szCs w:val="30"/>
        </w:rPr>
        <w:t>（二）改进措施</w:t>
      </w:r>
      <w:bookmarkEnd w:id="8"/>
      <w:bookmarkEnd w:id="9"/>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rPr>
      </w:pPr>
      <w:r>
        <w:rPr>
          <w:rFonts w:hint="eastAsia" w:ascii="仿宋" w:hAnsi="仿宋" w:eastAsia="仿宋" w:cstheme="minorBidi"/>
          <w:color w:val="000000" w:themeColor="text1"/>
          <w:kern w:val="2"/>
          <w:sz w:val="32"/>
          <w:szCs w:val="32"/>
        </w:rPr>
        <w:t>1、加强宣传引导，构建良好氛围。通过开展为民服务、校园开放、职业教育政策法规宣传等活动。让社会、学生、家长更全面、更深入地解了我校。</w:t>
      </w:r>
    </w:p>
    <w:p>
      <w:pPr>
        <w:pStyle w:val="6"/>
        <w:spacing w:before="0" w:beforeAutospacing="0" w:after="0" w:afterAutospacing="0" w:line="360" w:lineRule="auto"/>
        <w:ind w:firstLine="640" w:firstLineChars="200"/>
        <w:rPr>
          <w:rFonts w:ascii="仿宋" w:hAnsi="仿宋" w:eastAsia="仿宋" w:cs="仿宋_GB2312"/>
          <w:color w:val="000000" w:themeColor="text1"/>
          <w:kern w:val="0"/>
          <w:sz w:val="32"/>
          <w:szCs w:val="32"/>
          <w:shd w:val="clear" w:color="auto" w:fill="FFFFFF"/>
        </w:rPr>
      </w:pPr>
      <w:r>
        <w:rPr>
          <w:rFonts w:hint="eastAsia" w:ascii="仿宋" w:hAnsi="仿宋" w:eastAsia="仿宋" w:cstheme="minorBidi"/>
          <w:color w:val="000000" w:themeColor="text1"/>
          <w:kern w:val="2"/>
          <w:sz w:val="32"/>
          <w:szCs w:val="32"/>
        </w:rPr>
        <w:t>2、</w:t>
      </w:r>
      <w:r>
        <w:rPr>
          <w:rFonts w:ascii="仿宋" w:hAnsi="仿宋" w:eastAsia="仿宋" w:cstheme="minorBidi"/>
          <w:color w:val="000000" w:themeColor="text1"/>
          <w:kern w:val="2"/>
          <w:sz w:val="32"/>
          <w:szCs w:val="32"/>
        </w:rPr>
        <w:t>把握“双师型”教师的内涵</w:t>
      </w:r>
      <w:r>
        <w:rPr>
          <w:rFonts w:hint="eastAsia" w:ascii="仿宋" w:hAnsi="仿宋" w:eastAsia="仿宋" w:cstheme="minorBidi"/>
          <w:color w:val="000000" w:themeColor="text1"/>
          <w:kern w:val="2"/>
          <w:sz w:val="32"/>
          <w:szCs w:val="32"/>
        </w:rPr>
        <w:t>，加强师资队伍建设。通过对现有教师的培训，更新其职业教育理念，提升其业务水平；建立人才引进机制，吸引优秀的专业技能人才。</w:t>
      </w:r>
    </w:p>
    <w:p>
      <w:pPr>
        <w:ind w:firstLine="640" w:firstLineChars="200"/>
        <w:rPr>
          <w:rFonts w:hint="eastAsia" w:ascii="仿宋" w:hAnsi="仿宋" w:eastAsia="仿宋"/>
          <w:color w:val="000000" w:themeColor="text1"/>
          <w:sz w:val="32"/>
          <w:szCs w:val="32"/>
        </w:rPr>
      </w:pPr>
    </w:p>
    <w:p>
      <w:pPr>
        <w:pStyle w:val="6"/>
        <w:rPr>
          <w:rFonts w:ascii="仿宋" w:hAnsi="仿宋" w:eastAsia="仿宋" w:cstheme="minorBidi"/>
          <w:color w:val="000000" w:themeColor="text1"/>
          <w:kern w:val="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C3ED7"/>
    <w:multiLevelType w:val="singleLevel"/>
    <w:tmpl w:val="E37C3ED7"/>
    <w:lvl w:ilvl="0" w:tentative="0">
      <w:start w:val="1"/>
      <w:numFmt w:val="chineseCounting"/>
      <w:suff w:val="nothing"/>
      <w:lvlText w:val="%1、"/>
      <w:lvlJc w:val="left"/>
      <w:rPr>
        <w:rFonts w:hint="eastAsia"/>
      </w:rPr>
    </w:lvl>
  </w:abstractNum>
  <w:abstractNum w:abstractNumId="1">
    <w:nsid w:val="1B966E7C"/>
    <w:multiLevelType w:val="multilevel"/>
    <w:tmpl w:val="1B966E7C"/>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790EF1"/>
    <w:multiLevelType w:val="multilevel"/>
    <w:tmpl w:val="39790EF1"/>
    <w:lvl w:ilvl="0" w:tentative="0">
      <w:start w:val="2"/>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ED"/>
    <w:rsid w:val="001E03D9"/>
    <w:rsid w:val="00630FDA"/>
    <w:rsid w:val="00814DED"/>
    <w:rsid w:val="00833080"/>
    <w:rsid w:val="008D3A1D"/>
    <w:rsid w:val="023248EC"/>
    <w:rsid w:val="02A33E3D"/>
    <w:rsid w:val="04765D07"/>
    <w:rsid w:val="09B22A1F"/>
    <w:rsid w:val="100A7866"/>
    <w:rsid w:val="103F7EDC"/>
    <w:rsid w:val="10B963FE"/>
    <w:rsid w:val="140E381A"/>
    <w:rsid w:val="1CA378BB"/>
    <w:rsid w:val="1CBB5BB3"/>
    <w:rsid w:val="2159145F"/>
    <w:rsid w:val="22B85881"/>
    <w:rsid w:val="277A0BDE"/>
    <w:rsid w:val="28F26C27"/>
    <w:rsid w:val="29545378"/>
    <w:rsid w:val="2A7518BD"/>
    <w:rsid w:val="3466157E"/>
    <w:rsid w:val="374B2C9F"/>
    <w:rsid w:val="37705DEE"/>
    <w:rsid w:val="37C47FF8"/>
    <w:rsid w:val="396C68B9"/>
    <w:rsid w:val="3DCE4041"/>
    <w:rsid w:val="46B223C4"/>
    <w:rsid w:val="46BB15C7"/>
    <w:rsid w:val="476A6E5E"/>
    <w:rsid w:val="498C798D"/>
    <w:rsid w:val="4B810E53"/>
    <w:rsid w:val="584B5EA4"/>
    <w:rsid w:val="5AEA5304"/>
    <w:rsid w:val="5C1130D6"/>
    <w:rsid w:val="5D837AFD"/>
    <w:rsid w:val="62D43136"/>
    <w:rsid w:val="69B66CF5"/>
    <w:rsid w:val="69ED1B87"/>
    <w:rsid w:val="6E1D6D46"/>
    <w:rsid w:val="6E836897"/>
    <w:rsid w:val="71514D66"/>
    <w:rsid w:val="71AF508A"/>
    <w:rsid w:val="72A53221"/>
    <w:rsid w:val="74223755"/>
    <w:rsid w:val="747E4659"/>
    <w:rsid w:val="756E4F24"/>
    <w:rsid w:val="78CC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2B2B2B"/>
      <w:u w:val="none"/>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sz w:val="18"/>
      <w:szCs w:val="18"/>
    </w:rPr>
  </w:style>
  <w:style w:type="character" w:customStyle="1" w:styleId="13">
    <w:name w:val="标题 2 Char"/>
    <w:basedOn w:val="9"/>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image" Target="media/image3.png"/><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oleObject" Target="file:///D:\&#35786;&#25913;&#34920;\2018&#35786;&#25913;\7.4&#39030;&#23703;&#23454;&#20064;.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26446;&#36132;\&#23398;&#31821;\2018\&#20998;&#19987;&#19994;&#32479;&#35745;&#20154;&#25968;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年度设备总价值（万元）</a:t>
            </a:r>
            <a:endParaRPr lang="zh-CN" altLang="en-US"/>
          </a:p>
        </c:rich>
      </c:tx>
      <c:layout/>
      <c:overlay val="0"/>
    </c:title>
    <c:autoTitleDeleted val="0"/>
    <c:plotArea>
      <c:layout>
        <c:manualLayout>
          <c:layoutTarget val="inner"/>
          <c:xMode val="edge"/>
          <c:yMode val="edge"/>
          <c:x val="0.134977875058037"/>
          <c:y val="0.109401526047634"/>
          <c:w val="0.515474572898604"/>
          <c:h val="0.767392636291981"/>
        </c:manualLayout>
      </c:layout>
      <c:barChart>
        <c:barDir val="col"/>
        <c:grouping val="clustered"/>
        <c:varyColors val="0"/>
        <c:ser>
          <c:idx val="0"/>
          <c:order val="0"/>
          <c:tx>
            <c:strRef>
              <c:f>Sheet1!$B$1</c:f>
              <c:strCache>
                <c:ptCount val="1"/>
                <c:pt idx="0">
                  <c:v>2017年设备总价值</c:v>
                </c:pt>
              </c:strCache>
            </c:strRef>
          </c:tx>
          <c:spPr>
            <a:solidFill>
              <a:srgbClr val="FF0000"/>
            </a:solidFill>
          </c:spPr>
          <c:invertIfNegative val="0"/>
          <c:dPt>
            <c:idx val="0"/>
            <c:invertIfNegative val="0"/>
            <c:bubble3D val="0"/>
            <c:spPr>
              <a:solidFill>
                <a:srgbClr val="00B0F0"/>
              </a:solidFill>
            </c:spPr>
          </c:dPt>
          <c:dLbls>
            <c:delete val="1"/>
          </c:dLbls>
          <c:cat>
            <c:numRef>
              <c:f>Sheet1!$A$2:$A$5</c:f>
              <c:numCache>
                <c:formatCode>General</c:formatCode>
                <c:ptCount val="4"/>
                <c:pt idx="0">
                  <c:v>2017</c:v>
                </c:pt>
                <c:pt idx="1">
                  <c:v>2018</c:v>
                </c:pt>
              </c:numCache>
            </c:numRef>
          </c:cat>
          <c:val>
            <c:numRef>
              <c:f>Sheet1!$B$2:$B$5</c:f>
              <c:numCache>
                <c:formatCode>General</c:formatCode>
                <c:ptCount val="4"/>
                <c:pt idx="0">
                  <c:v>1233.9</c:v>
                </c:pt>
                <c:pt idx="1">
                  <c:v>1313.9</c:v>
                </c:pt>
              </c:numCache>
            </c:numRef>
          </c:val>
        </c:ser>
        <c:dLbls>
          <c:showLegendKey val="0"/>
          <c:showVal val="0"/>
          <c:showCatName val="0"/>
          <c:showSerName val="0"/>
          <c:showPercent val="0"/>
          <c:showBubbleSize val="0"/>
        </c:dLbls>
        <c:gapWidth val="150"/>
        <c:axId val="218007424"/>
        <c:axId val="218008960"/>
      </c:barChart>
      <c:catAx>
        <c:axId val="2180074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008960"/>
        <c:crosses val="autoZero"/>
        <c:auto val="1"/>
        <c:lblAlgn val="ctr"/>
        <c:lblOffset val="100"/>
        <c:noMultiLvlLbl val="0"/>
      </c:catAx>
      <c:valAx>
        <c:axId val="2180089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0074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年度设备总价值（万元）</a:t>
            </a:r>
            <a:endParaRPr lang="zh-CN" altLang="en-US"/>
          </a:p>
        </c:rich>
      </c:tx>
      <c:layout/>
      <c:overlay val="0"/>
    </c:title>
    <c:autoTitleDeleted val="0"/>
    <c:plotArea>
      <c:layout>
        <c:manualLayout>
          <c:layoutTarget val="inner"/>
          <c:xMode val="edge"/>
          <c:yMode val="edge"/>
          <c:x val="0.134977875058037"/>
          <c:y val="0.109401526047634"/>
          <c:w val="0.515474572898604"/>
          <c:h val="0.767392636291981"/>
        </c:manualLayout>
      </c:layout>
      <c:barChart>
        <c:barDir val="col"/>
        <c:grouping val="clustered"/>
        <c:varyColors val="0"/>
        <c:ser>
          <c:idx val="0"/>
          <c:order val="0"/>
          <c:tx>
            <c:strRef>
              <c:f>Sheet1!$B$1</c:f>
              <c:strCache>
                <c:ptCount val="1"/>
                <c:pt idx="0">
                  <c:v>2017年设备总价值</c:v>
                </c:pt>
              </c:strCache>
            </c:strRef>
          </c:tx>
          <c:spPr>
            <a:solidFill>
              <a:srgbClr val="FF0000"/>
            </a:solidFill>
          </c:spPr>
          <c:invertIfNegative val="0"/>
          <c:dPt>
            <c:idx val="0"/>
            <c:invertIfNegative val="0"/>
            <c:bubble3D val="0"/>
            <c:spPr>
              <a:solidFill>
                <a:srgbClr val="00B0F0"/>
              </a:solidFill>
            </c:spPr>
          </c:dPt>
          <c:dLbls>
            <c:delete val="1"/>
          </c:dLbls>
          <c:cat>
            <c:numRef>
              <c:f>Sheet1!$A$2:$A$5</c:f>
              <c:numCache>
                <c:formatCode>General</c:formatCode>
                <c:ptCount val="4"/>
                <c:pt idx="0">
                  <c:v>2017</c:v>
                </c:pt>
                <c:pt idx="1">
                  <c:v>2018</c:v>
                </c:pt>
              </c:numCache>
            </c:numRef>
          </c:cat>
          <c:val>
            <c:numRef>
              <c:f>Sheet1!$B$2:$B$5</c:f>
              <c:numCache>
                <c:formatCode>General</c:formatCode>
                <c:ptCount val="4"/>
                <c:pt idx="0">
                  <c:v>1233.9</c:v>
                </c:pt>
                <c:pt idx="1">
                  <c:v>1313.9</c:v>
                </c:pt>
              </c:numCache>
            </c:numRef>
          </c:val>
        </c:ser>
        <c:dLbls>
          <c:showLegendKey val="0"/>
          <c:showVal val="0"/>
          <c:showCatName val="0"/>
          <c:showSerName val="0"/>
          <c:showPercent val="0"/>
          <c:showBubbleSize val="0"/>
        </c:dLbls>
        <c:gapWidth val="150"/>
        <c:axId val="218007424"/>
        <c:axId val="218008960"/>
      </c:barChart>
      <c:catAx>
        <c:axId val="2180074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008960"/>
        <c:crosses val="autoZero"/>
        <c:auto val="1"/>
        <c:lblAlgn val="ctr"/>
        <c:lblOffset val="100"/>
        <c:noMultiLvlLbl val="0"/>
      </c:catAx>
      <c:valAx>
        <c:axId val="2180089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0074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年度设备总价值（万元）</a:t>
            </a:r>
            <a:endParaRPr lang="zh-CN" altLang="en-US"/>
          </a:p>
        </c:rich>
      </c:tx>
      <c:layout/>
      <c:overlay val="0"/>
    </c:title>
    <c:autoTitleDeleted val="0"/>
    <c:plotArea>
      <c:layout>
        <c:manualLayout>
          <c:layoutTarget val="inner"/>
          <c:xMode val="edge"/>
          <c:yMode val="edge"/>
          <c:x val="0.134977875058037"/>
          <c:y val="0.109401526047634"/>
          <c:w val="0.515474572898604"/>
          <c:h val="0.767392636291982"/>
        </c:manualLayout>
      </c:layout>
      <c:barChart>
        <c:barDir val="col"/>
        <c:grouping val="clustered"/>
        <c:varyColors val="0"/>
        <c:ser>
          <c:idx val="0"/>
          <c:order val="0"/>
          <c:tx>
            <c:strRef>
              <c:f>Sheet1!$B$1</c:f>
              <c:strCache>
                <c:ptCount val="1"/>
                <c:pt idx="0">
                  <c:v>2017年设备总价值</c:v>
                </c:pt>
              </c:strCache>
            </c:strRef>
          </c:tx>
          <c:spPr>
            <a:solidFill>
              <a:srgbClr val="FF0000"/>
            </a:solidFill>
          </c:spPr>
          <c:invertIfNegative val="0"/>
          <c:dPt>
            <c:idx val="0"/>
            <c:invertIfNegative val="0"/>
            <c:bubble3D val="0"/>
            <c:spPr>
              <a:solidFill>
                <a:srgbClr val="00B0F0"/>
              </a:solidFill>
            </c:spPr>
          </c:dPt>
          <c:dLbls>
            <c:delete val="1"/>
          </c:dLbls>
          <c:cat>
            <c:numRef>
              <c:f>Sheet1!$A$2:$A$5</c:f>
              <c:numCache>
                <c:formatCode>General</c:formatCode>
                <c:ptCount val="4"/>
                <c:pt idx="0">
                  <c:v>2017</c:v>
                </c:pt>
                <c:pt idx="1">
                  <c:v>2018</c:v>
                </c:pt>
              </c:numCache>
            </c:numRef>
          </c:cat>
          <c:val>
            <c:numRef>
              <c:f>Sheet1!$B$2:$B$5</c:f>
              <c:numCache>
                <c:formatCode>General</c:formatCode>
                <c:ptCount val="4"/>
                <c:pt idx="0">
                  <c:v>1233.9</c:v>
                </c:pt>
                <c:pt idx="1">
                  <c:v>1313.9</c:v>
                </c:pt>
              </c:numCache>
            </c:numRef>
          </c:val>
        </c:ser>
        <c:dLbls>
          <c:showLegendKey val="0"/>
          <c:showVal val="0"/>
          <c:showCatName val="0"/>
          <c:showSerName val="0"/>
          <c:showPercent val="0"/>
          <c:showBubbleSize val="0"/>
        </c:dLbls>
        <c:gapWidth val="150"/>
        <c:axId val="126886656"/>
        <c:axId val="126888960"/>
      </c:barChart>
      <c:catAx>
        <c:axId val="1268866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888960"/>
        <c:crosses val="autoZero"/>
        <c:auto val="1"/>
        <c:lblAlgn val="ctr"/>
        <c:lblOffset val="100"/>
        <c:noMultiLvlLbl val="0"/>
      </c:catAx>
      <c:valAx>
        <c:axId val="1268889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88665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年度工位数（个）</a:t>
            </a:r>
            <a:endParaRPr lang="zh-CN" altLang="en-US"/>
          </a:p>
        </c:rich>
      </c:tx>
      <c:layout/>
      <c:overlay val="0"/>
    </c:title>
    <c:autoTitleDeleted val="0"/>
    <c:plotArea>
      <c:layout/>
      <c:barChart>
        <c:barDir val="col"/>
        <c:grouping val="stacked"/>
        <c:varyColors val="0"/>
        <c:ser>
          <c:idx val="0"/>
          <c:order val="0"/>
          <c:tx>
            <c:strRef>
              <c:f>Sheet1!$B$1</c:f>
              <c:strCache>
                <c:ptCount val="1"/>
                <c:pt idx="0">
                  <c:v>2017年度生均工位数</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2017</c:v>
                </c:pt>
                <c:pt idx="1">
                  <c:v>2018</c:v>
                </c:pt>
              </c:numCache>
            </c:numRef>
          </c:cat>
          <c:val>
            <c:numRef>
              <c:f>Sheet1!$B$2:$B$5</c:f>
              <c:numCache>
                <c:formatCode>General</c:formatCode>
                <c:ptCount val="4"/>
                <c:pt idx="0">
                  <c:v>1002</c:v>
                </c:pt>
                <c:pt idx="1">
                  <c:v>1022</c:v>
                </c:pt>
              </c:numCache>
            </c:numRef>
          </c:val>
        </c:ser>
        <c:ser>
          <c:idx val="1"/>
          <c:order val="1"/>
          <c:tx>
            <c:strRef>
              <c:f>Sheet1!$C$1</c:f>
              <c:strCache>
                <c:ptCount val="1"/>
                <c:pt idx="0">
                  <c:v>2018年纸质图书</c:v>
                </c:pt>
              </c:strCache>
            </c:strRef>
          </c:tx>
          <c:invertIfNegative val="0"/>
          <c:dLbls>
            <c:delete val="1"/>
          </c:dLbls>
          <c:cat>
            <c:numRef>
              <c:f>Sheet1!$A$2:$A$5</c:f>
              <c:numCache>
                <c:formatCode>General</c:formatCode>
                <c:ptCount val="4"/>
                <c:pt idx="0">
                  <c:v>2017</c:v>
                </c:pt>
                <c:pt idx="1">
                  <c:v>2018</c:v>
                </c:pt>
              </c:numCache>
            </c:numRef>
          </c:cat>
          <c:val>
            <c:numRef>
              <c:f>Sheet1!$C$2:$C$5</c:f>
              <c:numCache>
                <c:formatCode>General</c:formatCode>
                <c:ptCount val="4"/>
              </c:numCache>
            </c:numRef>
          </c:val>
        </c:ser>
        <c:dLbls>
          <c:showLegendKey val="0"/>
          <c:showVal val="0"/>
          <c:showCatName val="0"/>
          <c:showSerName val="0"/>
          <c:showPercent val="0"/>
          <c:showBubbleSize val="0"/>
        </c:dLbls>
        <c:gapWidth val="150"/>
        <c:overlap val="100"/>
        <c:axId val="219654016"/>
        <c:axId val="219655552"/>
      </c:barChart>
      <c:catAx>
        <c:axId val="2196540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655552"/>
        <c:crosses val="autoZero"/>
        <c:auto val="1"/>
        <c:lblAlgn val="ctr"/>
        <c:lblOffset val="100"/>
        <c:noMultiLvlLbl val="0"/>
      </c:catAx>
      <c:valAx>
        <c:axId val="219655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6540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年度生均设备价值（元）</a:t>
            </a:r>
            <a:endParaRPr lang="zh-CN" altLang="en-US"/>
          </a:p>
        </c:rich>
      </c:tx>
      <c:layout/>
      <c:overlay val="0"/>
    </c:title>
    <c:autoTitleDeleted val="0"/>
    <c:plotArea>
      <c:layout/>
      <c:barChart>
        <c:barDir val="col"/>
        <c:grouping val="clustered"/>
        <c:varyColors val="0"/>
        <c:ser>
          <c:idx val="0"/>
          <c:order val="0"/>
          <c:tx>
            <c:strRef>
              <c:f>Sheet1!$B$1</c:f>
              <c:strCache>
                <c:ptCount val="1"/>
                <c:pt idx="0">
                  <c:v>2017年度生均工位数</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2017</c:v>
                </c:pt>
                <c:pt idx="1">
                  <c:v>2018</c:v>
                </c:pt>
              </c:numCache>
            </c:numRef>
          </c:cat>
          <c:val>
            <c:numRef>
              <c:f>Sheet1!$B$2:$B$5</c:f>
              <c:numCache>
                <c:formatCode>General</c:formatCode>
                <c:ptCount val="4"/>
                <c:pt idx="0">
                  <c:v>6994.9</c:v>
                </c:pt>
                <c:pt idx="1">
                  <c:v>6368.9</c:v>
                </c:pt>
              </c:numCache>
            </c:numRef>
          </c:val>
        </c:ser>
        <c:dLbls>
          <c:showLegendKey val="0"/>
          <c:showVal val="0"/>
          <c:showCatName val="0"/>
          <c:showSerName val="0"/>
          <c:showPercent val="0"/>
          <c:showBubbleSize val="0"/>
        </c:dLbls>
        <c:gapWidth val="150"/>
        <c:axId val="219577728"/>
        <c:axId val="219636864"/>
      </c:barChart>
      <c:catAx>
        <c:axId val="21957772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636864"/>
        <c:crosses val="autoZero"/>
        <c:auto val="1"/>
        <c:lblAlgn val="ctr"/>
        <c:lblOffset val="100"/>
        <c:noMultiLvlLbl val="0"/>
      </c:catAx>
      <c:valAx>
        <c:axId val="219636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5777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2018</a:t>
            </a:r>
            <a:r>
              <a:rPr lang="zh-CN" altLang="en-US"/>
              <a:t>年纸质图书（册）</a:t>
            </a:r>
            <a:endParaRPr lang="zh-CN" altLang="en-US"/>
          </a:p>
        </c:rich>
      </c:tx>
      <c:layout/>
      <c:overlay val="0"/>
    </c:title>
    <c:autoTitleDeleted val="0"/>
    <c:plotArea>
      <c:layout>
        <c:manualLayout>
          <c:layoutTarget val="inner"/>
          <c:xMode val="edge"/>
          <c:yMode val="edge"/>
          <c:x val="0.0869931872234382"/>
          <c:y val="0.146553228834012"/>
          <c:w val="0.87454674663862"/>
          <c:h val="0.717010636828291"/>
        </c:manualLayout>
      </c:layout>
      <c:barChart>
        <c:barDir val="col"/>
        <c:grouping val="stacked"/>
        <c:varyColors val="0"/>
        <c:ser>
          <c:idx val="0"/>
          <c:order val="0"/>
          <c:tx>
            <c:strRef>
              <c:f>Sheet1!$B$1</c:f>
              <c:strCache>
                <c:ptCount val="1"/>
                <c:pt idx="0">
                  <c:v>2017年纸质图书（册）</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2017</c:v>
                </c:pt>
                <c:pt idx="1">
                  <c:v>2018</c:v>
                </c:pt>
              </c:numCache>
            </c:numRef>
          </c:cat>
          <c:val>
            <c:numRef>
              <c:f>Sheet1!$B$2:$B$5</c:f>
              <c:numCache>
                <c:formatCode>General</c:formatCode>
                <c:ptCount val="4"/>
                <c:pt idx="0">
                  <c:v>23077</c:v>
                </c:pt>
                <c:pt idx="1">
                  <c:v>23077</c:v>
                </c:pt>
              </c:numCache>
            </c:numRef>
          </c:val>
        </c:ser>
        <c:dLbls>
          <c:showLegendKey val="0"/>
          <c:showVal val="0"/>
          <c:showCatName val="0"/>
          <c:showSerName val="0"/>
          <c:showPercent val="0"/>
          <c:showBubbleSize val="0"/>
        </c:dLbls>
        <c:gapWidth val="150"/>
        <c:overlap val="100"/>
        <c:axId val="219663744"/>
        <c:axId val="219673728"/>
      </c:barChart>
      <c:catAx>
        <c:axId val="21966374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673728"/>
        <c:crosses val="autoZero"/>
        <c:auto val="1"/>
        <c:lblAlgn val="ctr"/>
        <c:lblOffset val="100"/>
        <c:noMultiLvlLbl val="0"/>
      </c:catAx>
      <c:valAx>
        <c:axId val="219673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66374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4827020027265"/>
          <c:y val="0.0458308346131656"/>
          <c:w val="0.706849919933294"/>
          <c:h val="0.401468191089117"/>
        </c:manualLayout>
      </c:layout>
      <c:barChart>
        <c:barDir val="col"/>
        <c:grouping val="clustered"/>
        <c:varyColors val="0"/>
        <c:ser>
          <c:idx val="0"/>
          <c:order val="0"/>
          <c:tx>
            <c:strRef>
              <c:f>Sheet1!$B$1</c:f>
              <c:strCache>
                <c:ptCount val="1"/>
                <c:pt idx="0">
                  <c:v>2017年</c:v>
                </c:pt>
              </c:strCache>
            </c:strRef>
          </c:tx>
          <c:invertIfNegative val="0"/>
          <c:dLbls>
            <c:delete val="1"/>
          </c:dLbls>
          <c:cat>
            <c:strRef>
              <c:f>Sheet1!$A$2:$A$9</c:f>
              <c:strCache>
                <c:ptCount val="8"/>
                <c:pt idx="0">
                  <c:v>理论学习满意度</c:v>
                </c:pt>
                <c:pt idx="1">
                  <c:v>专业学习满意度</c:v>
                </c:pt>
                <c:pt idx="2">
                  <c:v>校内实习满意度</c:v>
                </c:pt>
                <c:pt idx="3">
                  <c:v>校外实习满意度</c:v>
                </c:pt>
                <c:pt idx="4">
                  <c:v>校园文化社团活动满意度</c:v>
                </c:pt>
                <c:pt idx="5">
                  <c:v>生活满意度</c:v>
                </c:pt>
                <c:pt idx="6">
                  <c:v>校园安全满意度</c:v>
                </c:pt>
                <c:pt idx="7">
                  <c:v>毕业生对学校满意度</c:v>
                </c:pt>
              </c:strCache>
            </c:strRef>
          </c:cat>
          <c:val>
            <c:numRef>
              <c:f>Sheet1!$B$2:$B$9</c:f>
              <c:numCache>
                <c:formatCode>General</c:formatCode>
                <c:ptCount val="8"/>
                <c:pt idx="0">
                  <c:v>98</c:v>
                </c:pt>
                <c:pt idx="1">
                  <c:v>95.9</c:v>
                </c:pt>
                <c:pt idx="2">
                  <c:v>95</c:v>
                </c:pt>
                <c:pt idx="3">
                  <c:v>94</c:v>
                </c:pt>
                <c:pt idx="4">
                  <c:v>95.5</c:v>
                </c:pt>
                <c:pt idx="5">
                  <c:v>97</c:v>
                </c:pt>
                <c:pt idx="6">
                  <c:v>98.5</c:v>
                </c:pt>
                <c:pt idx="7">
                  <c:v>93</c:v>
                </c:pt>
              </c:numCache>
            </c:numRef>
          </c:val>
        </c:ser>
        <c:ser>
          <c:idx val="1"/>
          <c:order val="1"/>
          <c:tx>
            <c:strRef>
              <c:f>Sheet1!$C$1</c:f>
              <c:strCache>
                <c:ptCount val="1"/>
                <c:pt idx="0">
                  <c:v>2018年</c:v>
                </c:pt>
              </c:strCache>
            </c:strRef>
          </c:tx>
          <c:invertIfNegative val="0"/>
          <c:dLbls>
            <c:delete val="1"/>
          </c:dLbls>
          <c:cat>
            <c:strRef>
              <c:f>Sheet1!$A$2:$A$9</c:f>
              <c:strCache>
                <c:ptCount val="8"/>
                <c:pt idx="0">
                  <c:v>理论学习满意度</c:v>
                </c:pt>
                <c:pt idx="1">
                  <c:v>专业学习满意度</c:v>
                </c:pt>
                <c:pt idx="2">
                  <c:v>校内实习满意度</c:v>
                </c:pt>
                <c:pt idx="3">
                  <c:v>校外实习满意度</c:v>
                </c:pt>
                <c:pt idx="4">
                  <c:v>校园文化社团活动满意度</c:v>
                </c:pt>
                <c:pt idx="5">
                  <c:v>生活满意度</c:v>
                </c:pt>
                <c:pt idx="6">
                  <c:v>校园安全满意度</c:v>
                </c:pt>
                <c:pt idx="7">
                  <c:v>毕业生对学校满意度</c:v>
                </c:pt>
              </c:strCache>
            </c:strRef>
          </c:cat>
          <c:val>
            <c:numRef>
              <c:f>Sheet1!$C$2:$C$9</c:f>
              <c:numCache>
                <c:formatCode>General</c:formatCode>
                <c:ptCount val="8"/>
                <c:pt idx="0">
                  <c:v>98.6</c:v>
                </c:pt>
                <c:pt idx="1">
                  <c:v>96</c:v>
                </c:pt>
                <c:pt idx="2">
                  <c:v>96.5</c:v>
                </c:pt>
                <c:pt idx="3">
                  <c:v>96.2</c:v>
                </c:pt>
                <c:pt idx="4">
                  <c:v>95.9</c:v>
                </c:pt>
                <c:pt idx="5">
                  <c:v>98</c:v>
                </c:pt>
                <c:pt idx="6">
                  <c:v>98.8</c:v>
                </c:pt>
                <c:pt idx="7">
                  <c:v>94.5</c:v>
                </c:pt>
              </c:numCache>
            </c:numRef>
          </c:val>
        </c:ser>
        <c:dLbls>
          <c:showLegendKey val="0"/>
          <c:showVal val="0"/>
          <c:showCatName val="0"/>
          <c:showSerName val="0"/>
          <c:showPercent val="0"/>
          <c:showBubbleSize val="0"/>
        </c:dLbls>
        <c:gapWidth val="150"/>
        <c:axId val="129401600"/>
        <c:axId val="129403136"/>
      </c:barChart>
      <c:catAx>
        <c:axId val="1294016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403136"/>
        <c:crosses val="autoZero"/>
        <c:auto val="1"/>
        <c:lblAlgn val="ctr"/>
        <c:lblOffset val="100"/>
        <c:noMultiLvlLbl val="0"/>
      </c:catAx>
      <c:valAx>
        <c:axId val="129403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4016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3826566528208"/>
          <c:y val="0.0346682894146428"/>
          <c:w val="0.779046021473072"/>
          <c:h val="0.902719209279168"/>
        </c:manualLayout>
      </c:layout>
      <c:barChart>
        <c:barDir val="col"/>
        <c:grouping val="clustered"/>
        <c:varyColors val="0"/>
        <c:ser>
          <c:idx val="0"/>
          <c:order val="0"/>
          <c:tx>
            <c:strRef>
              <c:f>Sheet1!$E$5</c:f>
              <c:strCache>
                <c:ptCount val="1"/>
                <c:pt idx="0">
                  <c:v>毕业生人数</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Sheet1!$E$6:$E$15</c:f>
              <c:numCache>
                <c:formatCode>General</c:formatCode>
                <c:ptCount val="10"/>
                <c:pt idx="0">
                  <c:v>66</c:v>
                </c:pt>
                <c:pt idx="1">
                  <c:v>36</c:v>
                </c:pt>
                <c:pt idx="2">
                  <c:v>369</c:v>
                </c:pt>
                <c:pt idx="3">
                  <c:v>124</c:v>
                </c:pt>
                <c:pt idx="4">
                  <c:v>66</c:v>
                </c:pt>
                <c:pt idx="5">
                  <c:v>12</c:v>
                </c:pt>
                <c:pt idx="6">
                  <c:v>50</c:v>
                </c:pt>
                <c:pt idx="7">
                  <c:v>30</c:v>
                </c:pt>
                <c:pt idx="8">
                  <c:v>12</c:v>
                </c:pt>
                <c:pt idx="9">
                  <c:v>24</c:v>
                </c:pt>
              </c:numCache>
            </c:numRef>
          </c:val>
        </c:ser>
        <c:ser>
          <c:idx val="1"/>
          <c:order val="1"/>
          <c:tx>
            <c:strRef>
              <c:f>Sheet1!$H$5</c:f>
              <c:strCache>
                <c:ptCount val="1"/>
                <c:pt idx="0">
                  <c:v>对口就业人数</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Sheet1!$H$6:$H$15</c:f>
              <c:numCache>
                <c:formatCode>General</c:formatCode>
                <c:ptCount val="10"/>
                <c:pt idx="0">
                  <c:v>59</c:v>
                </c:pt>
                <c:pt idx="1">
                  <c:v>28</c:v>
                </c:pt>
                <c:pt idx="2">
                  <c:v>338</c:v>
                </c:pt>
                <c:pt idx="3">
                  <c:v>110</c:v>
                </c:pt>
                <c:pt idx="4">
                  <c:v>51</c:v>
                </c:pt>
                <c:pt idx="5">
                  <c:v>12</c:v>
                </c:pt>
                <c:pt idx="6">
                  <c:v>32</c:v>
                </c:pt>
                <c:pt idx="7">
                  <c:v>30</c:v>
                </c:pt>
                <c:pt idx="8">
                  <c:v>12</c:v>
                </c:pt>
                <c:pt idx="9">
                  <c:v>18</c:v>
                </c:pt>
              </c:numCache>
            </c:numRef>
          </c:val>
        </c:ser>
        <c:dLbls>
          <c:showLegendKey val="0"/>
          <c:showVal val="1"/>
          <c:showCatName val="0"/>
          <c:showSerName val="0"/>
          <c:showPercent val="0"/>
          <c:showBubbleSize val="0"/>
        </c:dLbls>
        <c:gapWidth val="150"/>
        <c:axId val="141515776"/>
        <c:axId val="141521664"/>
      </c:barChart>
      <c:catAx>
        <c:axId val="141515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21664"/>
        <c:crosses val="autoZero"/>
        <c:auto val="1"/>
        <c:lblAlgn val="ctr"/>
        <c:lblOffset val="100"/>
        <c:noMultiLvlLbl val="0"/>
      </c:catAx>
      <c:valAx>
        <c:axId val="141521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15776"/>
        <c:crosses val="autoZero"/>
        <c:crossBetween val="between"/>
      </c:valAx>
    </c:plotArea>
    <c:legend>
      <c:legendPos val="r"/>
      <c:layout>
        <c:manualLayout>
          <c:xMode val="edge"/>
          <c:yMode val="edge"/>
          <c:x val="0.817951654644569"/>
          <c:y val="0.443534886008101"/>
          <c:w val="0.179928601582145"/>
          <c:h val="0.18787143410352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在校学生专业统计</a:t>
            </a:r>
            <a:endParaRPr lang="zh-CN" altLang="en-US"/>
          </a:p>
        </c:rich>
      </c:tx>
      <c:layout/>
      <c:overlay val="0"/>
    </c:title>
    <c:autoTitleDeleted val="0"/>
    <c:plotArea>
      <c:layout/>
      <c:barChart>
        <c:barDir val="col"/>
        <c:grouping val="clustered"/>
        <c:varyColors val="0"/>
        <c:ser>
          <c:idx val="0"/>
          <c:order val="0"/>
          <c:tx>
            <c:strRef>
              <c:f>Sheet2!$A$3</c:f>
              <c:strCache>
                <c:ptCount val="1"/>
                <c:pt idx="0">
                  <c:v>2015级</c:v>
                </c:pt>
              </c:strCache>
            </c:strRef>
          </c:tx>
          <c:invertIfNegative val="0"/>
          <c:dLbls>
            <c:delete val="1"/>
          </c:dLbls>
          <c:cat>
            <c:strRef>
              <c:f>Sheet2!$B$1:$L$2</c:f>
              <c:strCache>
                <c:ptCount val="11"/>
                <c:pt idx="0">
                  <c:v>电子技术应用</c:v>
                </c:pt>
                <c:pt idx="1">
                  <c:v>汽车运用与维修</c:v>
                </c:pt>
                <c:pt idx="2">
                  <c:v>会计电算化</c:v>
                </c:pt>
                <c:pt idx="3">
                  <c:v>铁路运输管理</c:v>
                </c:pt>
                <c:pt idx="4">
                  <c:v>石油天然气开采</c:v>
                </c:pt>
                <c:pt idx="5">
                  <c:v>航空航务</c:v>
                </c:pt>
                <c:pt idx="6">
                  <c:v>工程造价</c:v>
                </c:pt>
                <c:pt idx="7">
                  <c:v>计算机应用</c:v>
                </c:pt>
                <c:pt idx="8">
                  <c:v>电子商务</c:v>
                </c:pt>
                <c:pt idx="9">
                  <c:v>汽车车身修复</c:v>
                </c:pt>
                <c:pt idx="10">
                  <c:v>合计</c:v>
                </c:pt>
              </c:strCache>
            </c:strRef>
          </c:cat>
          <c:val>
            <c:numRef>
              <c:f>Sheet2!$B$3:$L$3</c:f>
            </c:numRef>
          </c:val>
        </c:ser>
        <c:ser>
          <c:idx val="1"/>
          <c:order val="1"/>
          <c:tx>
            <c:strRef>
              <c:f>Sheet2!$A$4</c:f>
              <c:strCache>
                <c:ptCount val="1"/>
                <c:pt idx="0">
                  <c:v>2016级</c:v>
                </c:pt>
              </c:strCache>
            </c:strRef>
          </c:tx>
          <c:invertIfNegative val="0"/>
          <c:dLbls>
            <c:delete val="1"/>
          </c:dLbls>
          <c:cat>
            <c:strRef>
              <c:f>Sheet2!$B$1:$L$2</c:f>
              <c:strCache>
                <c:ptCount val="11"/>
                <c:pt idx="0">
                  <c:v>电子技术应用</c:v>
                </c:pt>
                <c:pt idx="1">
                  <c:v>汽车运用与维修</c:v>
                </c:pt>
                <c:pt idx="2">
                  <c:v>会计电算化</c:v>
                </c:pt>
                <c:pt idx="3">
                  <c:v>铁路运输管理</c:v>
                </c:pt>
                <c:pt idx="4">
                  <c:v>石油天然气开采</c:v>
                </c:pt>
                <c:pt idx="5">
                  <c:v>航空航务</c:v>
                </c:pt>
                <c:pt idx="6">
                  <c:v>工程造价</c:v>
                </c:pt>
                <c:pt idx="7">
                  <c:v>计算机应用</c:v>
                </c:pt>
                <c:pt idx="8">
                  <c:v>电子商务</c:v>
                </c:pt>
                <c:pt idx="9">
                  <c:v>汽车车身修复</c:v>
                </c:pt>
                <c:pt idx="10">
                  <c:v>合计</c:v>
                </c:pt>
              </c:strCache>
            </c:strRef>
          </c:cat>
          <c:val>
            <c:numRef>
              <c:f>Sheet2!$B$4:$L$4</c:f>
              <c:numCache>
                <c:formatCode>General</c:formatCode>
                <c:ptCount val="11"/>
                <c:pt idx="0">
                  <c:v>38</c:v>
                </c:pt>
                <c:pt idx="1">
                  <c:v>213</c:v>
                </c:pt>
                <c:pt idx="2">
                  <c:v>18</c:v>
                </c:pt>
                <c:pt idx="3">
                  <c:v>128</c:v>
                </c:pt>
                <c:pt idx="4">
                  <c:v>20</c:v>
                </c:pt>
                <c:pt idx="5">
                  <c:v>38</c:v>
                </c:pt>
                <c:pt idx="6">
                  <c:v>2</c:v>
                </c:pt>
                <c:pt idx="7">
                  <c:v>42</c:v>
                </c:pt>
                <c:pt idx="8">
                  <c:v>0</c:v>
                </c:pt>
                <c:pt idx="9">
                  <c:v>0</c:v>
                </c:pt>
                <c:pt idx="10">
                  <c:v>500</c:v>
                </c:pt>
              </c:numCache>
            </c:numRef>
          </c:val>
        </c:ser>
        <c:ser>
          <c:idx val="2"/>
          <c:order val="2"/>
          <c:tx>
            <c:strRef>
              <c:f>Sheet2!$A$5</c:f>
              <c:strCache>
                <c:ptCount val="1"/>
                <c:pt idx="0">
                  <c:v>2017级</c:v>
                </c:pt>
              </c:strCache>
            </c:strRef>
          </c:tx>
          <c:invertIfNegative val="0"/>
          <c:dLbls>
            <c:delete val="1"/>
          </c:dLbls>
          <c:cat>
            <c:strRef>
              <c:f>Sheet2!$B$1:$L$2</c:f>
              <c:strCache>
                <c:ptCount val="11"/>
                <c:pt idx="0">
                  <c:v>电子技术应用</c:v>
                </c:pt>
                <c:pt idx="1">
                  <c:v>汽车运用与维修</c:v>
                </c:pt>
                <c:pt idx="2">
                  <c:v>会计电算化</c:v>
                </c:pt>
                <c:pt idx="3">
                  <c:v>铁路运输管理</c:v>
                </c:pt>
                <c:pt idx="4">
                  <c:v>石油天然气开采</c:v>
                </c:pt>
                <c:pt idx="5">
                  <c:v>航空航务</c:v>
                </c:pt>
                <c:pt idx="6">
                  <c:v>工程造价</c:v>
                </c:pt>
                <c:pt idx="7">
                  <c:v>计算机应用</c:v>
                </c:pt>
                <c:pt idx="8">
                  <c:v>电子商务</c:v>
                </c:pt>
                <c:pt idx="9">
                  <c:v>汽车车身修复</c:v>
                </c:pt>
                <c:pt idx="10">
                  <c:v>合计</c:v>
                </c:pt>
              </c:strCache>
            </c:strRef>
          </c:cat>
          <c:val>
            <c:numRef>
              <c:f>Sheet2!$B$5:$L$5</c:f>
              <c:numCache>
                <c:formatCode>General</c:formatCode>
                <c:ptCount val="11"/>
                <c:pt idx="0">
                  <c:v>47</c:v>
                </c:pt>
                <c:pt idx="1">
                  <c:v>154</c:v>
                </c:pt>
                <c:pt idx="2">
                  <c:v>9</c:v>
                </c:pt>
                <c:pt idx="3">
                  <c:v>88</c:v>
                </c:pt>
                <c:pt idx="4">
                  <c:v>0</c:v>
                </c:pt>
                <c:pt idx="5">
                  <c:v>29</c:v>
                </c:pt>
                <c:pt idx="6">
                  <c:v>20</c:v>
                </c:pt>
                <c:pt idx="7">
                  <c:v>35</c:v>
                </c:pt>
                <c:pt idx="8">
                  <c:v>37</c:v>
                </c:pt>
                <c:pt idx="9">
                  <c:v>46</c:v>
                </c:pt>
                <c:pt idx="10">
                  <c:v>465</c:v>
                </c:pt>
              </c:numCache>
            </c:numRef>
          </c:val>
        </c:ser>
        <c:ser>
          <c:idx val="3"/>
          <c:order val="3"/>
          <c:tx>
            <c:strRef>
              <c:f>Sheet2!$A$6</c:f>
              <c:strCache>
                <c:ptCount val="1"/>
                <c:pt idx="0">
                  <c:v>2018级</c:v>
                </c:pt>
              </c:strCache>
            </c:strRef>
          </c:tx>
          <c:invertIfNegative val="0"/>
          <c:dLbls>
            <c:delete val="1"/>
          </c:dLbls>
          <c:cat>
            <c:strRef>
              <c:f>Sheet2!$B$1:$L$2</c:f>
              <c:strCache>
                <c:ptCount val="11"/>
                <c:pt idx="0">
                  <c:v>电子技术应用</c:v>
                </c:pt>
                <c:pt idx="1">
                  <c:v>汽车运用与维修</c:v>
                </c:pt>
                <c:pt idx="2">
                  <c:v>会计电算化</c:v>
                </c:pt>
                <c:pt idx="3">
                  <c:v>铁路运输管理</c:v>
                </c:pt>
                <c:pt idx="4">
                  <c:v>石油天然气开采</c:v>
                </c:pt>
                <c:pt idx="5">
                  <c:v>航空航务</c:v>
                </c:pt>
                <c:pt idx="6">
                  <c:v>工程造价</c:v>
                </c:pt>
                <c:pt idx="7">
                  <c:v>计算机应用</c:v>
                </c:pt>
                <c:pt idx="8">
                  <c:v>电子商务</c:v>
                </c:pt>
                <c:pt idx="9">
                  <c:v>汽车车身修复</c:v>
                </c:pt>
                <c:pt idx="10">
                  <c:v>合计</c:v>
                </c:pt>
              </c:strCache>
            </c:strRef>
          </c:cat>
          <c:val>
            <c:numRef>
              <c:f>Sheet2!$B$6:$L$6</c:f>
              <c:numCache>
                <c:formatCode>General</c:formatCode>
                <c:ptCount val="11"/>
                <c:pt idx="0">
                  <c:v>137</c:v>
                </c:pt>
                <c:pt idx="1">
                  <c:v>465</c:v>
                </c:pt>
                <c:pt idx="2">
                  <c:v>11</c:v>
                </c:pt>
                <c:pt idx="3">
                  <c:v>145</c:v>
                </c:pt>
                <c:pt idx="4">
                  <c:v>0</c:v>
                </c:pt>
                <c:pt idx="5">
                  <c:v>62</c:v>
                </c:pt>
                <c:pt idx="6">
                  <c:v>0</c:v>
                </c:pt>
                <c:pt idx="7">
                  <c:v>243</c:v>
                </c:pt>
                <c:pt idx="8">
                  <c:v>35</c:v>
                </c:pt>
                <c:pt idx="9">
                  <c:v>0</c:v>
                </c:pt>
                <c:pt idx="10">
                  <c:v>1098</c:v>
                </c:pt>
              </c:numCache>
            </c:numRef>
          </c:val>
        </c:ser>
        <c:ser>
          <c:idx val="4"/>
          <c:order val="4"/>
          <c:tx>
            <c:strRef>
              <c:f>Sheet2!$A$7</c:f>
              <c:strCache>
                <c:ptCount val="1"/>
                <c:pt idx="0">
                  <c:v>合计</c:v>
                </c:pt>
              </c:strCache>
            </c:strRef>
          </c:tx>
          <c:invertIfNegative val="0"/>
          <c:dLbls>
            <c:delete val="1"/>
          </c:dLbls>
          <c:cat>
            <c:strRef>
              <c:f>Sheet2!$B$1:$L$2</c:f>
              <c:strCache>
                <c:ptCount val="11"/>
                <c:pt idx="0">
                  <c:v>电子技术应用</c:v>
                </c:pt>
                <c:pt idx="1">
                  <c:v>汽车运用与维修</c:v>
                </c:pt>
                <c:pt idx="2">
                  <c:v>会计电算化</c:v>
                </c:pt>
                <c:pt idx="3">
                  <c:v>铁路运输管理</c:v>
                </c:pt>
                <c:pt idx="4">
                  <c:v>石油天然气开采</c:v>
                </c:pt>
                <c:pt idx="5">
                  <c:v>航空航务</c:v>
                </c:pt>
                <c:pt idx="6">
                  <c:v>工程造价</c:v>
                </c:pt>
                <c:pt idx="7">
                  <c:v>计算机应用</c:v>
                </c:pt>
                <c:pt idx="8">
                  <c:v>电子商务</c:v>
                </c:pt>
                <c:pt idx="9">
                  <c:v>汽车车身修复</c:v>
                </c:pt>
                <c:pt idx="10">
                  <c:v>合计</c:v>
                </c:pt>
              </c:strCache>
            </c:strRef>
          </c:cat>
          <c:val>
            <c:numRef>
              <c:f>Sheet2!$B$7:$L$7</c:f>
              <c:numCache>
                <c:formatCode>General</c:formatCode>
                <c:ptCount val="11"/>
                <c:pt idx="0">
                  <c:v>258</c:v>
                </c:pt>
                <c:pt idx="1">
                  <c:v>1203</c:v>
                </c:pt>
                <c:pt idx="2">
                  <c:v>88</c:v>
                </c:pt>
                <c:pt idx="3">
                  <c:v>485</c:v>
                </c:pt>
                <c:pt idx="4">
                  <c:v>50</c:v>
                </c:pt>
                <c:pt idx="5">
                  <c:v>197</c:v>
                </c:pt>
                <c:pt idx="6">
                  <c:v>46</c:v>
                </c:pt>
                <c:pt idx="7">
                  <c:v>386</c:v>
                </c:pt>
                <c:pt idx="8">
                  <c:v>72</c:v>
                </c:pt>
                <c:pt idx="9">
                  <c:v>46</c:v>
                </c:pt>
                <c:pt idx="10">
                  <c:v>2063</c:v>
                </c:pt>
              </c:numCache>
            </c:numRef>
          </c:val>
        </c:ser>
        <c:dLbls>
          <c:showLegendKey val="0"/>
          <c:showVal val="0"/>
          <c:showCatName val="0"/>
          <c:showSerName val="0"/>
          <c:showPercent val="0"/>
          <c:showBubbleSize val="0"/>
        </c:dLbls>
        <c:gapWidth val="150"/>
        <c:axId val="141540352"/>
        <c:axId val="141546240"/>
      </c:barChart>
      <c:catAx>
        <c:axId val="141540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46240"/>
        <c:crosses val="autoZero"/>
        <c:auto val="1"/>
        <c:lblAlgn val="ctr"/>
        <c:lblOffset val="100"/>
        <c:noMultiLvlLbl val="0"/>
      </c:catAx>
      <c:valAx>
        <c:axId val="1415462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40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2737</Words>
  <Characters>15606</Characters>
  <Lines>130</Lines>
  <Paragraphs>36</Paragraphs>
  <TotalTime>10</TotalTime>
  <ScaleCrop>false</ScaleCrop>
  <LinksUpToDate>false</LinksUpToDate>
  <CharactersWithSpaces>18307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2019-01-16T01:22:00Z</dcterms:created>
  <dc:creator>Administrator</dc:creator>
  <cp:lastModifiedBy>飞哥哥</cp:lastModifiedBy>
  <dcterms:modified xsi:type="dcterms:W3CDTF">2021-10-12T07:19:29Z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8BFBBD2A95314F029B8504AC8FC64C9E</vt:lpwstr>
  </property>
</Properties>
</file>